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秀江道县河段管理范围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p/>
    <w:p/>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ind w:firstLine="1807" w:firstLineChars="500"/>
        <w:rPr>
          <w:b/>
          <w:bCs/>
          <w:sz w:val="36"/>
          <w:szCs w:val="36"/>
        </w:rPr>
      </w:pPr>
    </w:p>
    <w:p>
      <w:pPr>
        <w:jc w:val="center"/>
        <w:rPr>
          <w:lang w:val="zh-CN"/>
        </w:rPr>
      </w:pPr>
      <w:r>
        <w:rPr>
          <w:rFonts w:hint="eastAsia"/>
          <w:sz w:val="32"/>
          <w:szCs w:val="32"/>
        </w:rPr>
        <w:t>二〇一九年九月</w:t>
      </w:r>
    </w:p>
    <w:p>
      <w:pPr>
        <w:jc w:val="center"/>
        <w:rPr>
          <w:lang w:val="zh-CN"/>
        </w:rPr>
        <w:sectPr>
          <w:footerReference r:id="rId3" w:type="default"/>
          <w:pgSz w:w="11906" w:h="16838"/>
          <w:pgMar w:top="1440" w:right="1800" w:bottom="1440" w:left="1800" w:header="851" w:footer="992" w:gutter="0"/>
          <w:cols w:space="425" w:num="1"/>
          <w:docGrid w:type="lines" w:linePitch="312" w:charSpace="0"/>
        </w:sectPr>
      </w:pPr>
    </w:p>
    <w:p>
      <w:pPr>
        <w:jc w:val="center"/>
        <w:rPr>
          <w:rFonts w:ascii="宋体" w:hAnsi="宋体" w:eastAsia="宋体"/>
          <w:b/>
          <w:sz w:val="52"/>
          <w:szCs w:val="52"/>
        </w:rPr>
      </w:pPr>
      <w:r>
        <w:rPr>
          <w:rFonts w:hint="eastAsia" w:asciiTheme="majorEastAsia" w:hAnsiTheme="majorEastAsia" w:eastAsiaTheme="majorEastAsia"/>
          <w:b/>
          <w:sz w:val="52"/>
          <w:szCs w:val="52"/>
        </w:rPr>
        <w:t>秀江</w:t>
      </w:r>
      <w:r>
        <w:rPr>
          <w:rFonts w:hint="eastAsia" w:ascii="宋体" w:hAnsi="宋体" w:eastAsia="宋体"/>
          <w:b/>
          <w:sz w:val="52"/>
          <w:szCs w:val="52"/>
        </w:rPr>
        <w:t>道县河段管理范围</w:t>
      </w:r>
    </w:p>
    <w:p>
      <w:pPr>
        <w:ind w:firstLine="4176" w:firstLineChars="800"/>
        <w:rPr>
          <w:rFonts w:ascii="宋体" w:hAnsi="宋体" w:eastAsia="宋体"/>
          <w:b/>
          <w:sz w:val="52"/>
          <w:szCs w:val="52"/>
        </w:rPr>
      </w:pPr>
    </w:p>
    <w:p>
      <w:pPr>
        <w:ind w:firstLine="4176" w:firstLineChars="800"/>
        <w:rPr>
          <w:rFonts w:ascii="宋体" w:hAnsi="宋体" w:eastAsia="宋体"/>
          <w:b/>
          <w:sz w:val="52"/>
          <w:szCs w:val="52"/>
        </w:rPr>
      </w:pPr>
    </w:p>
    <w:p>
      <w:pPr>
        <w:ind w:firstLine="4176" w:firstLineChars="800"/>
        <w:rPr>
          <w:rFonts w:ascii="宋体" w:hAnsi="宋体" w:eastAsia="宋体"/>
          <w:b/>
          <w:sz w:val="52"/>
          <w:szCs w:val="52"/>
        </w:rPr>
      </w:pPr>
    </w:p>
    <w:p>
      <w:pPr>
        <w:jc w:val="center"/>
        <w:rPr>
          <w:rFonts w:ascii="宋体" w:hAnsi="宋体" w:eastAsia="宋体"/>
          <w:b/>
          <w:sz w:val="52"/>
          <w:szCs w:val="52"/>
        </w:rPr>
      </w:pPr>
      <w:r>
        <w:rPr>
          <w:rFonts w:hint="eastAsia" w:ascii="宋体" w:hAnsi="宋体" w:eastAsia="宋体"/>
          <w:b/>
          <w:sz w:val="52"/>
          <w:szCs w:val="52"/>
        </w:rPr>
        <w:t>划</w:t>
      </w:r>
    </w:p>
    <w:p>
      <w:pPr>
        <w:jc w:val="center"/>
        <w:rPr>
          <w:rFonts w:ascii="宋体" w:hAnsi="宋体" w:eastAsia="宋体"/>
          <w:b/>
          <w:sz w:val="52"/>
          <w:szCs w:val="52"/>
        </w:rPr>
      </w:pPr>
      <w:r>
        <w:rPr>
          <w:rFonts w:hint="eastAsia" w:ascii="宋体" w:hAnsi="宋体" w:eastAsia="宋体"/>
          <w:b/>
          <w:sz w:val="52"/>
          <w:szCs w:val="52"/>
        </w:rPr>
        <w:t>定</w:t>
      </w:r>
    </w:p>
    <w:p>
      <w:pPr>
        <w:jc w:val="center"/>
        <w:rPr>
          <w:rFonts w:ascii="宋体" w:hAnsi="宋体" w:eastAsia="宋体"/>
          <w:b/>
          <w:sz w:val="52"/>
          <w:szCs w:val="52"/>
        </w:rPr>
      </w:pPr>
      <w:r>
        <w:rPr>
          <w:rFonts w:hint="eastAsia" w:ascii="宋体" w:hAnsi="宋体" w:eastAsia="宋体"/>
          <w:b/>
          <w:sz w:val="52"/>
          <w:szCs w:val="52"/>
        </w:rPr>
        <w:t>方</w:t>
      </w:r>
    </w:p>
    <w:p>
      <w:pPr>
        <w:jc w:val="center"/>
        <w:rPr>
          <w:rFonts w:ascii="宋体" w:hAnsi="宋体" w:eastAsia="宋体"/>
          <w:b/>
          <w:sz w:val="52"/>
          <w:szCs w:val="52"/>
        </w:rPr>
      </w:pPr>
      <w:r>
        <w:rPr>
          <w:rFonts w:hint="eastAsia" w:ascii="宋体" w:hAnsi="宋体" w:eastAsia="宋体"/>
          <w:b/>
          <w:sz w:val="52"/>
          <w:szCs w:val="52"/>
        </w:rPr>
        <w:t>案</w:t>
      </w:r>
    </w:p>
    <w:p/>
    <w:p>
      <w:r>
        <w:rPr>
          <w:rFonts w:hint="eastAsia" w:eastAsia="宋体"/>
          <w:sz w:val="32"/>
          <w:szCs w:val="32"/>
          <w:lang w:eastAsia="zh-CN"/>
        </w:rPr>
        <w:drawing>
          <wp:anchor distT="0" distB="0" distL="114300" distR="114300" simplePos="0" relativeHeight="251662336" behindDoc="1" locked="0" layoutInCell="1" allowOverlap="1">
            <wp:simplePos x="0" y="0"/>
            <wp:positionH relativeFrom="column">
              <wp:posOffset>1946910</wp:posOffset>
            </wp:positionH>
            <wp:positionV relativeFrom="paragraph">
              <wp:posOffset>-205740</wp:posOffset>
            </wp:positionV>
            <wp:extent cx="974090" cy="767080"/>
            <wp:effectExtent l="0" t="0" r="16510" b="13970"/>
            <wp:wrapNone/>
            <wp:docPr id="3" name="图片 3"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廖红华"/>
                    <pic:cNvPicPr>
                      <a:picLocks noChangeAspect="1"/>
                    </pic:cNvPicPr>
                  </pic:nvPicPr>
                  <pic:blipFill>
                    <a:blip r:embed="rId6"/>
                    <a:stretch>
                      <a:fillRect/>
                    </a:stretch>
                  </pic:blipFill>
                  <pic:spPr>
                    <a:xfrm>
                      <a:off x="0" y="0"/>
                      <a:ext cx="974090" cy="767080"/>
                    </a:xfrm>
                    <a:prstGeom prst="rect">
                      <a:avLst/>
                    </a:prstGeom>
                    <a:noFill/>
                    <a:ln>
                      <a:noFill/>
                    </a:ln>
                  </pic:spPr>
                </pic:pic>
              </a:graphicData>
            </a:graphic>
          </wp:anchor>
        </w:drawing>
      </w:r>
      <w:r>
        <w:rPr>
          <w:rFonts w:hint="eastAsia" w:eastAsia="宋体"/>
          <w:sz w:val="32"/>
          <w:szCs w:val="32"/>
          <w:lang w:eastAsia="zh-CN"/>
        </w:rPr>
        <w:drawing>
          <wp:anchor distT="0" distB="0" distL="114300" distR="114300" simplePos="0" relativeHeight="251663360" behindDoc="1" locked="0" layoutInCell="1" allowOverlap="1">
            <wp:simplePos x="0" y="0"/>
            <wp:positionH relativeFrom="column">
              <wp:posOffset>4390390</wp:posOffset>
            </wp:positionH>
            <wp:positionV relativeFrom="paragraph">
              <wp:posOffset>729615</wp:posOffset>
            </wp:positionV>
            <wp:extent cx="1057910" cy="506730"/>
            <wp:effectExtent l="0" t="0" r="8890" b="7620"/>
            <wp:wrapNone/>
            <wp:docPr id="4"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descr="唐贵荣"/>
                    <pic:cNvPicPr>
                      <a:picLocks noChangeAspect="1"/>
                    </pic:cNvPicPr>
                  </pic:nvPicPr>
                  <pic:blipFill>
                    <a:blip r:embed="rId7"/>
                    <a:stretch>
                      <a:fillRect/>
                    </a:stretch>
                  </pic:blipFill>
                  <pic:spPr>
                    <a:xfrm>
                      <a:off x="0" y="0"/>
                      <a:ext cx="1057910" cy="506730"/>
                    </a:xfrm>
                    <a:prstGeom prst="rect">
                      <a:avLst/>
                    </a:prstGeom>
                    <a:noFill/>
                    <a:ln>
                      <a:noFill/>
                    </a:ln>
                  </pic:spPr>
                </pic:pic>
              </a:graphicData>
            </a:graphic>
          </wp:anchor>
        </w:drawing>
      </w:r>
      <w:r>
        <w:rPr>
          <w:rFonts w:hint="eastAsia" w:eastAsia="宋体"/>
          <w:sz w:val="32"/>
          <w:szCs w:val="32"/>
          <w:lang w:eastAsia="zh-CN"/>
        </w:rPr>
        <w:drawing>
          <wp:anchor distT="0" distB="0" distL="114300" distR="114300" simplePos="0" relativeHeight="251664384" behindDoc="1" locked="0" layoutInCell="1" allowOverlap="1">
            <wp:simplePos x="0" y="0"/>
            <wp:positionH relativeFrom="column">
              <wp:posOffset>4267200</wp:posOffset>
            </wp:positionH>
            <wp:positionV relativeFrom="paragraph">
              <wp:posOffset>1522095</wp:posOffset>
            </wp:positionV>
            <wp:extent cx="660400" cy="484505"/>
            <wp:effectExtent l="0" t="0" r="6350" b="10795"/>
            <wp:wrapNone/>
            <wp:docPr id="2"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杨武"/>
                    <pic:cNvPicPr>
                      <a:picLocks noChangeAspect="1"/>
                    </pic:cNvPicPr>
                  </pic:nvPicPr>
                  <pic:blipFill>
                    <a:blip r:embed="rId8"/>
                    <a:stretch>
                      <a:fillRect/>
                    </a:stretch>
                  </pic:blipFill>
                  <pic:spPr>
                    <a:xfrm>
                      <a:off x="0" y="0"/>
                      <a:ext cx="660400" cy="484505"/>
                    </a:xfrm>
                    <a:prstGeom prst="rect">
                      <a:avLst/>
                    </a:prstGeom>
                    <a:noFill/>
                    <a:ln>
                      <a:noFill/>
                    </a:ln>
                  </pic:spPr>
                </pic:pic>
              </a:graphicData>
            </a:graphic>
          </wp:anchor>
        </w:drawing>
      </w:r>
      <w:r>
        <w:rPr>
          <w:rFonts w:hint="eastAsia" w:eastAsia="宋体"/>
          <w:sz w:val="32"/>
          <w:szCs w:val="32"/>
          <w:lang w:eastAsia="zh-CN"/>
        </w:rPr>
        <w:drawing>
          <wp:anchor distT="0" distB="0" distL="114300" distR="114300" simplePos="0" relativeHeight="251659264" behindDoc="1" locked="0" layoutInCell="1" allowOverlap="1">
            <wp:simplePos x="0" y="0"/>
            <wp:positionH relativeFrom="column">
              <wp:posOffset>3475355</wp:posOffset>
            </wp:positionH>
            <wp:positionV relativeFrom="paragraph">
              <wp:posOffset>2320290</wp:posOffset>
            </wp:positionV>
            <wp:extent cx="704215" cy="544195"/>
            <wp:effectExtent l="0" t="0" r="635" b="8255"/>
            <wp:wrapNone/>
            <wp:docPr id="6"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2" descr="陈静"/>
                    <pic:cNvPicPr>
                      <a:picLocks noChangeAspect="1"/>
                    </pic:cNvPicPr>
                  </pic:nvPicPr>
                  <pic:blipFill>
                    <a:blip r:embed="rId9"/>
                    <a:stretch>
                      <a:fillRect/>
                    </a:stretch>
                  </pic:blipFill>
                  <pic:spPr>
                    <a:xfrm>
                      <a:off x="0" y="0"/>
                      <a:ext cx="704215" cy="544195"/>
                    </a:xfrm>
                    <a:prstGeom prst="rect">
                      <a:avLst/>
                    </a:prstGeom>
                    <a:noFill/>
                    <a:ln>
                      <a:noFill/>
                    </a:ln>
                  </pic:spPr>
                </pic:pic>
              </a:graphicData>
            </a:graphic>
          </wp:anchor>
        </w:drawing>
      </w:r>
      <w:r>
        <w:rPr>
          <w:rFonts w:hint="eastAsia" w:eastAsia="宋体"/>
          <w:b/>
          <w:bCs/>
          <w:sz w:val="36"/>
          <w:szCs w:val="36"/>
          <w:lang w:eastAsia="zh-CN"/>
        </w:rPr>
        <w:drawing>
          <wp:anchor distT="0" distB="0" distL="114300" distR="114300" simplePos="0" relativeHeight="251660288" behindDoc="1" locked="0" layoutInCell="1" allowOverlap="1">
            <wp:simplePos x="0" y="0"/>
            <wp:positionH relativeFrom="column">
              <wp:posOffset>1143000</wp:posOffset>
            </wp:positionH>
            <wp:positionV relativeFrom="paragraph">
              <wp:posOffset>2390140</wp:posOffset>
            </wp:positionV>
            <wp:extent cx="720725" cy="507365"/>
            <wp:effectExtent l="0" t="0" r="3175" b="6985"/>
            <wp:wrapNone/>
            <wp:docPr id="7"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 descr="韩少武1"/>
                    <pic:cNvPicPr>
                      <a:picLocks noChangeAspect="1"/>
                    </pic:cNvPicPr>
                  </pic:nvPicPr>
                  <pic:blipFill>
                    <a:blip r:embed="rId10"/>
                    <a:stretch>
                      <a:fillRect/>
                    </a:stretch>
                  </pic:blipFill>
                  <pic:spPr>
                    <a:xfrm>
                      <a:off x="0" y="0"/>
                      <a:ext cx="720725" cy="507365"/>
                    </a:xfrm>
                    <a:prstGeom prst="rect">
                      <a:avLst/>
                    </a:prstGeom>
                    <a:noFill/>
                    <a:ln>
                      <a:noFill/>
                    </a:ln>
                  </pic:spPr>
                </pic:pic>
              </a:graphicData>
            </a:graphic>
          </wp:anchor>
        </w:drawing>
      </w:r>
      <w:r>
        <w:rPr>
          <w:rFonts w:hint="eastAsia" w:eastAsia="宋体"/>
          <w:sz w:val="32"/>
          <w:szCs w:val="32"/>
          <w:lang w:eastAsia="zh-CN"/>
        </w:rPr>
        <w:drawing>
          <wp:anchor distT="0" distB="0" distL="114300" distR="114300" simplePos="0" relativeHeight="251661312" behindDoc="1" locked="0" layoutInCell="1" allowOverlap="1">
            <wp:simplePos x="0" y="0"/>
            <wp:positionH relativeFrom="column">
              <wp:posOffset>4137660</wp:posOffset>
            </wp:positionH>
            <wp:positionV relativeFrom="paragraph">
              <wp:posOffset>2451735</wp:posOffset>
            </wp:positionV>
            <wp:extent cx="1398905" cy="585470"/>
            <wp:effectExtent l="0" t="0" r="10795" b="5080"/>
            <wp:wrapNone/>
            <wp:docPr id="8"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descr="雷端生"/>
                    <pic:cNvPicPr>
                      <a:picLocks noChangeAspect="1"/>
                    </pic:cNvPicPr>
                  </pic:nvPicPr>
                  <pic:blipFill>
                    <a:blip r:embed="rId11"/>
                    <a:stretch>
                      <a:fillRect/>
                    </a:stretch>
                  </pic:blipFill>
                  <pic:spPr>
                    <a:xfrm>
                      <a:off x="0" y="0"/>
                      <a:ext cx="1398905" cy="585470"/>
                    </a:xfrm>
                    <a:prstGeom prst="rect">
                      <a:avLst/>
                    </a:prstGeom>
                    <a:noFill/>
                    <a:ln>
                      <a:noFill/>
                    </a:ln>
                  </pic:spPr>
                </pic:pic>
              </a:graphicData>
            </a:graphic>
          </wp:anchor>
        </w:drawing>
      </w:r>
    </w:p>
    <w:p/>
    <w:p/>
    <w:p>
      <w:pPr>
        <w:rPr>
          <w:sz w:val="32"/>
          <w:szCs w:val="32"/>
        </w:rPr>
      </w:pPr>
      <w:r>
        <w:rPr>
          <w:rFonts w:hint="eastAsia"/>
          <w:sz w:val="32"/>
          <w:szCs w:val="32"/>
        </w:rPr>
        <w:t>审批单位：道县人民政府</w:t>
      </w:r>
    </w:p>
    <w:p>
      <w:pPr>
        <w:rPr>
          <w:sz w:val="32"/>
          <w:szCs w:val="32"/>
        </w:rPr>
      </w:pPr>
      <w:r>
        <w:rPr>
          <w:rFonts w:hint="eastAsia"/>
          <w:sz w:val="32"/>
          <w:szCs w:val="32"/>
        </w:rPr>
        <w:t>审核单位：永州市水利局  永州市自然资源和规划局</w:t>
      </w:r>
    </w:p>
    <w:p>
      <w:pPr>
        <w:rPr>
          <w:sz w:val="32"/>
          <w:szCs w:val="32"/>
        </w:rPr>
      </w:pPr>
      <w:r>
        <w:rPr>
          <w:rFonts w:hint="eastAsia"/>
          <w:sz w:val="32"/>
          <w:szCs w:val="32"/>
        </w:rPr>
        <w:t>编制单位：道县水利局    道县自然资源局</w:t>
      </w:r>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lang w:val="zh-CN"/>
        </w:rPr>
      </w:pPr>
      <w:r>
        <w:rPr>
          <w:rFonts w:hint="eastAsia"/>
          <w:sz w:val="32"/>
          <w:szCs w:val="32"/>
        </w:rPr>
        <w:t>二〇一九年九月</w:t>
      </w:r>
    </w:p>
    <w:p>
      <w:pPr>
        <w:jc w:val="center"/>
        <w:rPr>
          <w:rFonts w:hint="eastAsia"/>
          <w:sz w:val="32"/>
          <w:szCs w:val="32"/>
        </w:rPr>
        <w:sectPr>
          <w:pgSz w:w="11906" w:h="16838"/>
          <w:pgMar w:top="1440" w:right="1800" w:bottom="1440" w:left="1800" w:header="851" w:footer="992" w:gutter="0"/>
          <w:cols w:space="720" w:num="1"/>
          <w:docGrid w:type="lines" w:linePitch="312" w:charSpace="0"/>
        </w:sectPr>
      </w:pPr>
    </w:p>
    <w:p>
      <w:pPr>
        <w:jc w:val="center"/>
        <w:rPr>
          <w:lang w:val="zh-CN"/>
        </w:rPr>
        <w:sectPr>
          <w:pgSz w:w="11906" w:h="16838"/>
          <w:pgMar w:top="1440" w:right="1800" w:bottom="1440" w:left="1800" w:header="851" w:footer="992" w:gutter="0"/>
          <w:cols w:space="425" w:num="1"/>
          <w:docGrid w:type="lines" w:linePitch="312" w:charSpace="0"/>
        </w:sectPr>
      </w:pPr>
    </w:p>
    <w:p>
      <w:pPr>
        <w:jc w:val="center"/>
        <w:rPr>
          <w:lang w:val="zh-CN"/>
        </w:rPr>
      </w:pPr>
    </w:p>
    <w:p>
      <w:pPr>
        <w:pStyle w:val="66"/>
        <w:spacing w:line="480" w:lineRule="auto"/>
        <w:jc w:val="center"/>
        <w:rPr>
          <w:rFonts w:asciiTheme="majorEastAsia" w:hAnsiTheme="majorEastAsia"/>
          <w:sz w:val="32"/>
          <w:szCs w:val="32"/>
        </w:rPr>
      </w:pPr>
      <w:r>
        <w:rPr>
          <w:rFonts w:asciiTheme="majorEastAsia" w:hAnsiTheme="majorEastAsia"/>
          <w:b w:val="0"/>
          <w:bCs w:val="0"/>
          <w:sz w:val="32"/>
          <w:szCs w:val="32"/>
          <w:lang w:val="zh-CN"/>
        </w:rPr>
        <w:t>目</w:t>
      </w:r>
      <w:r>
        <w:rPr>
          <w:rFonts w:hint="eastAsia" w:asciiTheme="majorEastAsia" w:hAnsiTheme="majorEastAsia"/>
          <w:b w:val="0"/>
          <w:bCs w:val="0"/>
          <w:sz w:val="32"/>
          <w:szCs w:val="32"/>
          <w:lang w:val="zh-CN"/>
        </w:rPr>
        <w:t xml:space="preserve">  </w:t>
      </w:r>
      <w:r>
        <w:rPr>
          <w:rFonts w:asciiTheme="majorEastAsia" w:hAnsiTheme="majorEastAsia"/>
          <w:b w:val="0"/>
          <w:bCs w:val="0"/>
          <w:sz w:val="32"/>
          <w:szCs w:val="32"/>
          <w:lang w:val="zh-CN"/>
        </w:rPr>
        <w:t>录</w:t>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"_Toc25147" </w:instrText>
      </w:r>
      <w:r>
        <w:fldChar w:fldCharType="separate"/>
      </w:r>
      <w:r>
        <w:rPr>
          <w:rFonts w:hint="eastAsia" w:asciiTheme="minorEastAsia" w:hAnsiTheme="minorEastAsia" w:cstheme="minorEastAsia"/>
          <w:sz w:val="28"/>
          <w:szCs w:val="28"/>
        </w:rPr>
        <w:t>1 划界工作背景</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_Toc25147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"_Toc2668" </w:instrText>
      </w:r>
      <w:r>
        <w:fldChar w:fldCharType="separate"/>
      </w:r>
      <w:r>
        <w:rPr>
          <w:rFonts w:hint="eastAsia" w:asciiTheme="minorEastAsia" w:hAnsiTheme="minorEastAsia" w:cstheme="minorEastAsia"/>
          <w:sz w:val="28"/>
          <w:szCs w:val="28"/>
        </w:rPr>
        <w:t>2 河段基本情况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_Toc2668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"_Toc28281" </w:instrText>
      </w:r>
      <w:r>
        <w:fldChar w:fldCharType="separate"/>
      </w:r>
      <w:r>
        <w:rPr>
          <w:rFonts w:hint="eastAsia" w:asciiTheme="minorEastAsia" w:hAnsiTheme="minorEastAsia" w:cstheme="minorEastAsia"/>
          <w:sz w:val="28"/>
          <w:szCs w:val="28"/>
        </w:rPr>
        <w:t>2.1 河段洪水位情况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_Toc28281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"_Toc20066" </w:instrText>
      </w:r>
      <w:r>
        <w:fldChar w:fldCharType="separate"/>
      </w:r>
      <w:r>
        <w:rPr>
          <w:rFonts w:hint="eastAsia" w:asciiTheme="minorEastAsia" w:hAnsiTheme="minorEastAsia" w:cstheme="minorEastAsia"/>
          <w:sz w:val="28"/>
          <w:szCs w:val="28"/>
        </w:rPr>
        <w:t>2.2 河段岸线情况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_Toc20066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"_Toc25765" </w:instrText>
      </w:r>
      <w:r>
        <w:fldChar w:fldCharType="separate"/>
      </w:r>
      <w:r>
        <w:rPr>
          <w:rFonts w:hint="eastAsia" w:asciiTheme="minorEastAsia" w:hAnsiTheme="minorEastAsia" w:cstheme="minorEastAsia"/>
          <w:sz w:val="28"/>
          <w:szCs w:val="28"/>
        </w:rPr>
        <w:t>2.3 涉河建设项目情况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_Toc25765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"_Toc12627" </w:instrText>
      </w:r>
      <w:r>
        <w:fldChar w:fldCharType="separate"/>
      </w:r>
      <w:r>
        <w:rPr>
          <w:rFonts w:hint="eastAsia" w:asciiTheme="minorEastAsia" w:hAnsiTheme="minorEastAsia" w:cstheme="minorEastAsia"/>
          <w:sz w:val="28"/>
          <w:szCs w:val="28"/>
        </w:rPr>
        <w:t>2.4 土地权属情况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_Toc12627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"_Toc18581" </w:instrText>
      </w:r>
      <w:r>
        <w:fldChar w:fldCharType="separate"/>
      </w:r>
      <w:r>
        <w:rPr>
          <w:rFonts w:hint="eastAsia" w:asciiTheme="minorEastAsia" w:hAnsiTheme="minorEastAsia" w:cstheme="minorEastAsia"/>
          <w:sz w:val="28"/>
          <w:szCs w:val="28"/>
        </w:rPr>
        <w:t>2.5 历史划界情况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_Toc18581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"_Toc18399" </w:instrText>
      </w:r>
      <w:r>
        <w:fldChar w:fldCharType="separate"/>
      </w:r>
      <w:r>
        <w:rPr>
          <w:rFonts w:hint="eastAsia" w:asciiTheme="minorEastAsia" w:hAnsiTheme="minorEastAsia" w:cstheme="minorEastAsia"/>
          <w:sz w:val="28"/>
          <w:szCs w:val="28"/>
        </w:rPr>
        <w:t>3 工作原则及依据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_Toc18399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"_Toc1023" </w:instrText>
      </w:r>
      <w:r>
        <w:fldChar w:fldCharType="separate"/>
      </w:r>
      <w:r>
        <w:rPr>
          <w:rFonts w:hint="eastAsia" w:asciiTheme="minorEastAsia" w:hAnsiTheme="minorEastAsia" w:cstheme="minorEastAsia"/>
          <w:sz w:val="28"/>
          <w:szCs w:val="28"/>
        </w:rPr>
        <w:t>3.1 工作原则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_Toc1023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ind w:left="0" w:leftChars="0" w:firstLine="630" w:firstLineChars="300"/>
        <w:rPr>
          <w:rFonts w:asciiTheme="minorEastAsia" w:hAnsiTheme="minorEastAsia" w:cstheme="minorEastAsia"/>
          <w:sz w:val="28"/>
          <w:szCs w:val="28"/>
        </w:rPr>
      </w:pPr>
      <w:r>
        <w:fldChar w:fldCharType="begin"/>
      </w:r>
      <w:r>
        <w:instrText xml:space="preserve"> HYPERLINK \l "_Toc17941" </w:instrText>
      </w:r>
      <w:r>
        <w:fldChar w:fldCharType="separate"/>
      </w:r>
      <w:r>
        <w:rPr>
          <w:rFonts w:hint="eastAsia" w:asciiTheme="minorEastAsia" w:hAnsiTheme="minorEastAsia" w:cstheme="minorEastAsia"/>
          <w:sz w:val="28"/>
          <w:szCs w:val="28"/>
        </w:rPr>
        <w:t>3.1.1依法依规，科学合理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_Toc17941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ind w:left="0" w:leftChars="0" w:firstLine="630" w:firstLineChars="300"/>
        <w:rPr>
          <w:rFonts w:asciiTheme="minorEastAsia" w:hAnsiTheme="minorEastAsia" w:cstheme="minorEastAsia"/>
          <w:sz w:val="28"/>
          <w:szCs w:val="28"/>
        </w:rPr>
      </w:pPr>
      <w:r>
        <w:fldChar w:fldCharType="begin"/>
      </w:r>
      <w:r>
        <w:instrText xml:space="preserve"> HYPERLINK \l "_Toc28450" </w:instrText>
      </w:r>
      <w:r>
        <w:fldChar w:fldCharType="separate"/>
      </w:r>
      <w:r>
        <w:rPr>
          <w:rFonts w:hint="eastAsia" w:asciiTheme="minorEastAsia" w:hAnsiTheme="minorEastAsia" w:cstheme="minorEastAsia"/>
          <w:sz w:val="28"/>
          <w:szCs w:val="28"/>
        </w:rPr>
        <w:t>3.1.2因地制宜、统筹兼顾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_Toc28450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ind w:left="0" w:leftChars="0" w:firstLine="630" w:firstLineChars="300"/>
        <w:rPr>
          <w:rFonts w:asciiTheme="minorEastAsia" w:hAnsiTheme="minorEastAsia" w:cstheme="minorEastAsia"/>
          <w:sz w:val="28"/>
          <w:szCs w:val="28"/>
        </w:rPr>
      </w:pPr>
      <w:r>
        <w:fldChar w:fldCharType="begin"/>
      </w:r>
      <w:r>
        <w:instrText xml:space="preserve"> HYPERLINK \l "_Toc28152" </w:instrText>
      </w:r>
      <w:r>
        <w:fldChar w:fldCharType="separate"/>
      </w:r>
      <w:r>
        <w:rPr>
          <w:rFonts w:hint="eastAsia" w:asciiTheme="minorEastAsia" w:hAnsiTheme="minorEastAsia" w:cstheme="minorEastAsia"/>
          <w:sz w:val="28"/>
          <w:szCs w:val="28"/>
        </w:rPr>
        <w:t>3.1.3组织协调、共同参与</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_Toc28152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"_Toc27570" </w:instrText>
      </w:r>
      <w:r>
        <w:fldChar w:fldCharType="separate"/>
      </w:r>
      <w:r>
        <w:rPr>
          <w:rFonts w:hint="eastAsia" w:asciiTheme="minorEastAsia" w:hAnsiTheme="minorEastAsia" w:cstheme="minorEastAsia"/>
          <w:sz w:val="28"/>
          <w:szCs w:val="28"/>
        </w:rPr>
        <w:t>3.2 工作依据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_Toc27570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"_Toc2883" </w:instrText>
      </w:r>
      <w:r>
        <w:fldChar w:fldCharType="separate"/>
      </w:r>
      <w:r>
        <w:rPr>
          <w:rFonts w:hint="eastAsia" w:asciiTheme="minorEastAsia" w:hAnsiTheme="minorEastAsia" w:cstheme="minorEastAsia"/>
          <w:sz w:val="28"/>
          <w:szCs w:val="28"/>
        </w:rPr>
        <w:t>3.2.1法律法规</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_Toc2883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"_Toc3076" </w:instrText>
      </w:r>
      <w:r>
        <w:fldChar w:fldCharType="separate"/>
      </w:r>
      <w:r>
        <w:rPr>
          <w:rFonts w:hint="eastAsia" w:asciiTheme="minorEastAsia" w:hAnsiTheme="minorEastAsia" w:cstheme="minorEastAsia"/>
          <w:sz w:val="28"/>
          <w:szCs w:val="28"/>
        </w:rPr>
        <w:t>3.2.2政策性文件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_Toc3076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"_Toc11861" </w:instrText>
      </w:r>
      <w:r>
        <w:fldChar w:fldCharType="separate"/>
      </w:r>
      <w:r>
        <w:rPr>
          <w:rFonts w:hint="eastAsia" w:asciiTheme="minorEastAsia" w:hAnsiTheme="minorEastAsia" w:cstheme="minorEastAsia"/>
          <w:sz w:val="28"/>
          <w:szCs w:val="28"/>
        </w:rPr>
        <w:t>3.2.3技术标准规范</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_Toc11861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"_Toc20694" </w:instrText>
      </w:r>
      <w:r>
        <w:fldChar w:fldCharType="separate"/>
      </w:r>
      <w:r>
        <w:rPr>
          <w:rFonts w:hint="eastAsia" w:asciiTheme="minorEastAsia" w:hAnsiTheme="minorEastAsia" w:cstheme="minorEastAsia"/>
          <w:sz w:val="28"/>
          <w:szCs w:val="28"/>
        </w:rPr>
        <w:t>4 组织实施情况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_Toc20694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"_Toc10086" </w:instrText>
      </w:r>
      <w:r>
        <w:fldChar w:fldCharType="separate"/>
      </w:r>
      <w:r>
        <w:rPr>
          <w:rFonts w:hint="eastAsia" w:asciiTheme="minorEastAsia" w:hAnsiTheme="minorEastAsia" w:cstheme="minorEastAsia"/>
          <w:sz w:val="28"/>
          <w:szCs w:val="28"/>
        </w:rPr>
        <w:t>4.1 已有资料收集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_Toc10086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"_Toc6699" </w:instrText>
      </w:r>
      <w:r>
        <w:fldChar w:fldCharType="separate"/>
      </w:r>
      <w:r>
        <w:rPr>
          <w:rFonts w:hint="eastAsia" w:asciiTheme="minorEastAsia" w:hAnsiTheme="minorEastAsia" w:cstheme="minorEastAsia"/>
          <w:sz w:val="28"/>
          <w:szCs w:val="28"/>
        </w:rPr>
        <w:t>4.2 工作底图制作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_Toc6699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"_Toc3187" </w:instrText>
      </w:r>
      <w:r>
        <w:fldChar w:fldCharType="separate"/>
      </w:r>
      <w:r>
        <w:rPr>
          <w:rFonts w:hint="eastAsia" w:asciiTheme="minorEastAsia" w:hAnsiTheme="minorEastAsia" w:cstheme="minorEastAsia"/>
          <w:sz w:val="28"/>
          <w:szCs w:val="28"/>
        </w:rPr>
        <w:t>4.2.1 已有资料预处理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_Toc3187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"_Toc10119" </w:instrText>
      </w:r>
      <w:r>
        <w:fldChar w:fldCharType="separate"/>
      </w:r>
      <w:r>
        <w:rPr>
          <w:rFonts w:hint="eastAsia" w:asciiTheme="minorEastAsia" w:hAnsiTheme="minorEastAsia" w:cstheme="minorEastAsia"/>
          <w:sz w:val="28"/>
          <w:szCs w:val="28"/>
        </w:rPr>
        <w:t>4.2.2 河湖划界参考要素补充采集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_Toc10119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"_Toc28170" </w:instrText>
      </w:r>
      <w:r>
        <w:fldChar w:fldCharType="separate"/>
      </w:r>
      <w:r>
        <w:rPr>
          <w:rFonts w:hint="eastAsia" w:asciiTheme="minorEastAsia" w:hAnsiTheme="minorEastAsia" w:cstheme="minorEastAsia"/>
          <w:sz w:val="28"/>
          <w:szCs w:val="28"/>
        </w:rPr>
        <w:t>4.2.3 地形图补充测量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_Toc28170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"_Toc22601" </w:instrText>
      </w:r>
      <w:r>
        <w:fldChar w:fldCharType="separate"/>
      </w:r>
      <w:r>
        <w:rPr>
          <w:rFonts w:hint="eastAsia" w:asciiTheme="minorEastAsia" w:hAnsiTheme="minorEastAsia" w:cstheme="minorEastAsia"/>
          <w:sz w:val="28"/>
          <w:szCs w:val="28"/>
        </w:rPr>
        <w:t>4.2.4 数据整合</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_Toc22601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"_Toc1381" </w:instrText>
      </w:r>
      <w:r>
        <w:fldChar w:fldCharType="separate"/>
      </w:r>
      <w:r>
        <w:rPr>
          <w:rFonts w:hint="eastAsia" w:asciiTheme="minorEastAsia" w:hAnsiTheme="minorEastAsia" w:cstheme="minorEastAsia"/>
          <w:sz w:val="28"/>
          <w:szCs w:val="28"/>
        </w:rPr>
        <w:t>4.3 管理范围室内初步划定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_Toc1381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"_Toc2805" </w:instrText>
      </w:r>
      <w:r>
        <w:fldChar w:fldCharType="separate"/>
      </w:r>
      <w:r>
        <w:rPr>
          <w:rFonts w:hint="eastAsia" w:asciiTheme="minorEastAsia" w:hAnsiTheme="minorEastAsia" w:cstheme="minorEastAsia"/>
          <w:sz w:val="28"/>
          <w:szCs w:val="28"/>
        </w:rPr>
        <w:t>4.3.1 设计水位分析</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_Toc2805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"_Toc8779" </w:instrText>
      </w:r>
      <w:r>
        <w:fldChar w:fldCharType="separate"/>
      </w:r>
      <w:r>
        <w:rPr>
          <w:rFonts w:hint="eastAsia" w:asciiTheme="minorEastAsia" w:hAnsiTheme="minorEastAsia" w:cstheme="minorEastAsia"/>
          <w:sz w:val="28"/>
          <w:szCs w:val="28"/>
        </w:rPr>
        <w:t>4.3.2 设计水位标图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_Toc8779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"_Toc14380" </w:instrText>
      </w:r>
      <w:r>
        <w:fldChar w:fldCharType="separate"/>
      </w:r>
      <w:r>
        <w:rPr>
          <w:rFonts w:hint="eastAsia" w:asciiTheme="minorEastAsia" w:hAnsiTheme="minorEastAsia" w:cstheme="minorEastAsia"/>
          <w:sz w:val="28"/>
          <w:szCs w:val="28"/>
        </w:rPr>
        <w:t>4.3.3 管理范围界限初步划定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_Toc14380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"_Toc9999" </w:instrText>
      </w:r>
      <w:r>
        <w:fldChar w:fldCharType="separate"/>
      </w:r>
      <w:r>
        <w:rPr>
          <w:rFonts w:hint="eastAsia" w:asciiTheme="minorEastAsia" w:hAnsiTheme="minorEastAsia" w:cstheme="minorEastAsia"/>
          <w:sz w:val="28"/>
          <w:szCs w:val="28"/>
        </w:rPr>
        <w:t>4.3.4 界桩和告示牌预布设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_Toc9999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"_Toc15426" </w:instrText>
      </w:r>
      <w:r>
        <w:fldChar w:fldCharType="separate"/>
      </w:r>
      <w:r>
        <w:rPr>
          <w:rFonts w:hint="eastAsia" w:asciiTheme="minorEastAsia" w:hAnsiTheme="minorEastAsia" w:cstheme="minorEastAsia"/>
          <w:sz w:val="28"/>
          <w:szCs w:val="28"/>
        </w:rPr>
        <w:t>4.4 管理范围线实地修正</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_Toc15426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"_Toc15553" </w:instrText>
      </w:r>
      <w:r>
        <w:fldChar w:fldCharType="separate"/>
      </w:r>
      <w:r>
        <w:rPr>
          <w:rFonts w:hint="eastAsia" w:asciiTheme="minorEastAsia" w:hAnsiTheme="minorEastAsia" w:cstheme="minorEastAsia"/>
          <w:sz w:val="28"/>
          <w:szCs w:val="28"/>
        </w:rPr>
        <w:t>5 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_Toc15553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"_Toc2544" </w:instrText>
      </w:r>
      <w:r>
        <w:fldChar w:fldCharType="separate"/>
      </w:r>
      <w:r>
        <w:rPr>
          <w:rFonts w:hint="eastAsia" w:asciiTheme="minorEastAsia" w:hAnsiTheme="minorEastAsia" w:cstheme="minorEastAsia"/>
          <w:sz w:val="28"/>
          <w:szCs w:val="28"/>
        </w:rPr>
        <w:t>5.1 无堤防的河道管理范围划界标准和依据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_Toc2544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"_Toc18834" </w:instrText>
      </w:r>
      <w:r>
        <w:fldChar w:fldCharType="separate"/>
      </w:r>
      <w:r>
        <w:rPr>
          <w:rFonts w:hint="eastAsia" w:asciiTheme="minorEastAsia" w:hAnsiTheme="minorEastAsia" w:cstheme="minorEastAsia"/>
          <w:sz w:val="28"/>
          <w:szCs w:val="28"/>
        </w:rPr>
        <w:t>6 其他相关情况说明</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_Toc18834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"_Toc7055" </w:instrText>
      </w:r>
      <w:r>
        <w:fldChar w:fldCharType="separate"/>
      </w:r>
      <w:r>
        <w:rPr>
          <w:rFonts w:hint="eastAsia" w:asciiTheme="minorEastAsia" w:hAnsiTheme="minorEastAsia" w:cstheme="minorEastAsia"/>
          <w:sz w:val="28"/>
          <w:szCs w:val="28"/>
        </w:rPr>
        <w:t>6.1 划界数学基础标准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_Toc7055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"_Toc8094" </w:instrText>
      </w:r>
      <w:r>
        <w:fldChar w:fldCharType="separate"/>
      </w:r>
      <w:r>
        <w:rPr>
          <w:rFonts w:hint="eastAsia" w:asciiTheme="minorEastAsia" w:hAnsiTheme="minorEastAsia" w:cstheme="minorEastAsia"/>
          <w:sz w:val="28"/>
          <w:szCs w:val="28"/>
        </w:rPr>
        <w:t>6.2 划界连线方式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_Toc8094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"_Toc24400" </w:instrText>
      </w:r>
      <w:r>
        <w:fldChar w:fldCharType="separate"/>
      </w:r>
      <w:r>
        <w:rPr>
          <w:rFonts w:hint="eastAsia" w:asciiTheme="minorEastAsia" w:hAnsiTheme="minorEastAsia" w:cstheme="minorEastAsia"/>
          <w:sz w:val="28"/>
          <w:szCs w:val="28"/>
        </w:rPr>
        <w:t>6.3 河湖划界数据存储格式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_Toc24400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"_Toc20173" </w:instrText>
      </w:r>
      <w:r>
        <w:fldChar w:fldCharType="separate"/>
      </w:r>
      <w:r>
        <w:rPr>
          <w:rFonts w:hint="eastAsia" w:asciiTheme="minorEastAsia" w:hAnsiTheme="minorEastAsia" w:cstheme="minorEastAsia"/>
          <w:sz w:val="28"/>
          <w:szCs w:val="28"/>
        </w:rPr>
        <w:t>6.4 管理范围界桩编号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_Toc20173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"_Toc32265" </w:instrText>
      </w:r>
      <w:r>
        <w:fldChar w:fldCharType="separate"/>
      </w:r>
      <w:r>
        <w:rPr>
          <w:rFonts w:hint="eastAsia" w:asciiTheme="minorEastAsia" w:hAnsiTheme="minorEastAsia" w:cstheme="minorEastAsia"/>
          <w:sz w:val="28"/>
          <w:szCs w:val="28"/>
        </w:rPr>
        <w:t>6.5 管理范围告示牌编号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_Toc32265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"_Toc6886" </w:instrText>
      </w:r>
      <w:r>
        <w:fldChar w:fldCharType="separate"/>
      </w:r>
      <w:r>
        <w:rPr>
          <w:rFonts w:hint="eastAsia" w:asciiTheme="minorEastAsia" w:hAnsiTheme="minorEastAsia" w:cstheme="minorEastAsia"/>
          <w:sz w:val="28"/>
          <w:szCs w:val="28"/>
        </w:rPr>
        <w:t>6.6 界桩、告示牌制作与埋设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_Toc6886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"_Toc6543" </w:instrText>
      </w:r>
      <w:r>
        <w:fldChar w:fldCharType="separate"/>
      </w:r>
      <w:r>
        <w:rPr>
          <w:rFonts w:hint="eastAsia" w:asciiTheme="minorEastAsia" w:hAnsiTheme="minorEastAsia" w:cstheme="minorEastAsia"/>
          <w:sz w:val="28"/>
          <w:szCs w:val="28"/>
        </w:rPr>
        <w:t>6.6.1 界桩制作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_Toc6543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"_Toc24327" </w:instrText>
      </w:r>
      <w:r>
        <w:fldChar w:fldCharType="separate"/>
      </w:r>
      <w:r>
        <w:rPr>
          <w:rFonts w:hint="eastAsia" w:asciiTheme="minorEastAsia" w:hAnsiTheme="minorEastAsia" w:cstheme="minorEastAsia"/>
          <w:sz w:val="28"/>
          <w:szCs w:val="28"/>
        </w:rPr>
        <w:t>6.6.2 界桩埋设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_Toc24327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"_Toc18100" </w:instrText>
      </w:r>
      <w:r>
        <w:fldChar w:fldCharType="separate"/>
      </w:r>
      <w:r>
        <w:rPr>
          <w:rFonts w:hint="eastAsia" w:asciiTheme="minorEastAsia" w:hAnsiTheme="minorEastAsia" w:cstheme="minorEastAsia"/>
          <w:sz w:val="28"/>
          <w:szCs w:val="28"/>
        </w:rPr>
        <w:t>6.6.3 告示牌制作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_Toc18100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"_Toc12835" </w:instrText>
      </w:r>
      <w:r>
        <w:fldChar w:fldCharType="separate"/>
      </w:r>
      <w:r>
        <w:rPr>
          <w:rFonts w:hint="eastAsia" w:asciiTheme="minorEastAsia" w:hAnsiTheme="minorEastAsia" w:cstheme="minorEastAsia"/>
          <w:sz w:val="28"/>
          <w:szCs w:val="28"/>
        </w:rPr>
        <w:t>6.6.4 告示牌埋设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_Toc12835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"_Toc26720" </w:instrText>
      </w:r>
      <w:r>
        <w:fldChar w:fldCharType="separate"/>
      </w:r>
      <w:r>
        <w:rPr>
          <w:rFonts w:hint="eastAsia" w:asciiTheme="minorEastAsia" w:hAnsiTheme="minorEastAsia" w:cstheme="minorEastAsia"/>
          <w:sz w:val="28"/>
          <w:szCs w:val="28"/>
        </w:rPr>
        <w:t>6.7 界桩和告示牌位置采集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_Toc26720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rPr>
          <w:rFonts w:hint="eastAsia" w:asciiTheme="minorEastAsia" w:hAnsiTheme="minorEastAsia" w:cstheme="minorEastAsia"/>
          <w:bCs/>
          <w:sz w:val="28"/>
          <w:szCs w:val="28"/>
          <w:lang w:val="zh-CN"/>
        </w:rPr>
        <w:fldChar w:fldCharType="begin"/>
      </w:r>
      <w:r>
        <w:rPr>
          <w:rFonts w:hint="eastAsia" w:asciiTheme="minorEastAsia" w:hAnsiTheme="minorEastAsia" w:cstheme="minorEastAsia"/>
          <w:bCs/>
          <w:sz w:val="28"/>
          <w:szCs w:val="28"/>
          <w:lang w:val="zh-CN"/>
        </w:rPr>
        <w:instrText xml:space="preserve"> HYPERLINK \l _Toc31803 </w:instrText>
      </w:r>
      <w:r>
        <w:rPr>
          <w:rFonts w:hint="eastAsia" w:asciiTheme="minorEastAsia" w:hAnsiTheme="minorEastAsia" w:cstheme="minorEastAsia"/>
          <w:bCs/>
          <w:sz w:val="28"/>
          <w:szCs w:val="28"/>
          <w:lang w:val="zh-CN"/>
        </w:rPr>
        <w:fldChar w:fldCharType="separate"/>
      </w:r>
      <w:r>
        <w:rPr>
          <w:rFonts w:hint="eastAsia" w:asciiTheme="minorEastAsia" w:hAnsiTheme="minorEastAsia" w:cstheme="minorEastAsia"/>
          <w:sz w:val="28"/>
          <w:szCs w:val="28"/>
        </w:rPr>
        <w:t xml:space="preserve">7 </w:t>
      </w:r>
      <w:r>
        <w:fldChar w:fldCharType="begin"/>
      </w:r>
      <w:r>
        <w:instrText xml:space="preserve"> HYPERLINK \l "_Toc18834" </w:instrText>
      </w:r>
      <w:r>
        <w:fldChar w:fldCharType="separate"/>
      </w:r>
      <w:r>
        <w:rPr>
          <w:rFonts w:hint="eastAsia" w:asciiTheme="minorEastAsia" w:hAnsiTheme="minorEastAsia" w:cstheme="minorEastAsia"/>
          <w:sz w:val="28"/>
          <w:szCs w:val="28"/>
        </w:rPr>
        <w:t>附件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t>3</w:t>
      </w:r>
      <w:r>
        <w:rPr>
          <w:rFonts w:hint="eastAsia" w:asciiTheme="minorEastAsia" w:hAnsiTheme="minorEastAsia" w:cstheme="minorEastAsia"/>
          <w:sz w:val="28"/>
          <w:szCs w:val="28"/>
        </w:rPr>
        <w:fldChar w:fldCharType="end"/>
      </w:r>
      <w:r>
        <w:rPr>
          <w:rFonts w:hint="eastAsia" w:asciiTheme="minorEastAsia" w:hAnsiTheme="minorEastAsia" w:cstheme="minorEastAsia"/>
          <w:bCs/>
          <w:sz w:val="28"/>
          <w:szCs w:val="28"/>
        </w:rPr>
        <w:t>3</w:t>
      </w:r>
    </w:p>
    <w:p>
      <w:pPr>
        <w:spacing w:line="560" w:lineRule="exact"/>
        <w:rPr>
          <w:rFonts w:asciiTheme="minorEastAsia" w:hAnsiTheme="minorEastAsia" w:cstheme="minorEastAsia"/>
          <w:sz w:val="28"/>
          <w:szCs w:val="28"/>
        </w:rPr>
        <w:sectPr>
          <w:pgSz w:w="11906" w:h="16838"/>
          <w:pgMar w:top="1440" w:right="1800" w:bottom="1440" w:left="1800" w:header="851" w:footer="992" w:gutter="0"/>
          <w:cols w:space="425" w:num="1"/>
          <w:docGrid w:type="lines" w:linePitch="312" w:charSpace="0"/>
        </w:sectPr>
      </w:pPr>
      <w:r>
        <w:rPr>
          <w:rFonts w:hint="eastAsia" w:asciiTheme="minorEastAsia" w:hAnsiTheme="minorEastAsia" w:cstheme="minorEastAsia"/>
          <w:bCs/>
          <w:sz w:val="28"/>
          <w:szCs w:val="28"/>
          <w:lang w:val="zh-CN"/>
        </w:rPr>
        <w:fldChar w:fldCharType="end"/>
      </w:r>
    </w:p>
    <w:p>
      <w:pPr>
        <w:pStyle w:val="3"/>
        <w:ind w:left="0" w:firstLine="0"/>
      </w:pPr>
      <w:bookmarkStart w:id="0" w:name="_Toc6870"/>
      <w:bookmarkStart w:id="1" w:name="_Toc15228261"/>
      <w:bookmarkStart w:id="2" w:name="_Toc25147"/>
      <w:bookmarkStart w:id="3" w:name="_Toc17592"/>
      <w:r>
        <w:rPr>
          <w:rFonts w:hint="eastAsia"/>
        </w:rPr>
        <w:t>划界工作背景</w:t>
      </w:r>
      <w:bookmarkEnd w:id="0"/>
      <w:bookmarkEnd w:id="1"/>
      <w:bookmarkEnd w:id="2"/>
      <w:bookmarkEnd w:id="3"/>
    </w:p>
    <w:p>
      <w:pPr>
        <w:pStyle w:val="41"/>
        <w:ind w:firstLine="560"/>
        <w:rPr>
          <w:rFonts w:ascii="宋体" w:hAnsi="宋体" w:eastAsia="宋体" w:cs="Times New Roman"/>
        </w:rPr>
      </w:pPr>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pPr>
        <w:pStyle w:val="41"/>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1"/>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1"/>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1"/>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1"/>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1"/>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1"/>
        <w:ind w:firstLine="560"/>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并于2019年9月完成了《秀江道县河段管理范围划定方案》的编制</w:t>
      </w:r>
      <w:r>
        <w:rPr>
          <w:rFonts w:hint="eastAsia"/>
        </w:rPr>
        <w:t>。</w:t>
      </w:r>
    </w:p>
    <w:p>
      <w:pPr>
        <w:pStyle w:val="3"/>
        <w:ind w:left="0" w:firstLine="0"/>
      </w:pPr>
      <w:bookmarkStart w:id="4" w:name="_Toc16394"/>
      <w:bookmarkStart w:id="5" w:name="_Toc5136"/>
      <w:bookmarkStart w:id="6" w:name="_Toc15228262"/>
      <w:bookmarkStart w:id="7" w:name="_Toc2668"/>
      <w:r>
        <w:rPr>
          <w:rFonts w:hint="eastAsia"/>
        </w:rPr>
        <w:t>河段基本情况</w:t>
      </w:r>
      <w:bookmarkEnd w:id="4"/>
      <w:bookmarkEnd w:id="5"/>
      <w:bookmarkEnd w:id="6"/>
      <w:bookmarkEnd w:id="7"/>
    </w:p>
    <w:p>
      <w:pPr>
        <w:pStyle w:val="41"/>
        <w:ind w:firstLine="560"/>
        <w:rPr>
          <w:rFonts w:ascii="宋体" w:hAnsi="宋体" w:eastAsia="宋体" w:cs="Times New Roman"/>
        </w:rPr>
      </w:pPr>
      <w:r>
        <w:rPr>
          <w:rFonts w:hint="eastAsia" w:ascii="宋体" w:hAnsi="宋体" w:eastAsia="宋体" w:cs="Times New Roman"/>
        </w:rPr>
        <w:t>秀江是灌江一级支流，旧称飞江、秀水。发源于县境滑石山，向西北向流经双江口、秀风、上王蒋家坝等村屯，至飞江口注入灌江。全长25.3公里，道县境内河段为长度4公里。地理坐标为东径111°31'--111°32'，北纬25°48'--25°51'之间，该流域属亚热带湿润地区，具有气候温和、四季分明、春夏之间雨量集中，秋季多旱，暑热期长等气候特点。道县河段河流长度4km，平均宽度10米，最宽处18米，平均水深0.5米，最深处1.2米，流域内水量较少，属于季节性河流，全流域不通航。</w:t>
      </w:r>
    </w:p>
    <w:p>
      <w:pPr>
        <w:pStyle w:val="41"/>
        <w:ind w:firstLine="560"/>
        <w:rPr>
          <w:rFonts w:ascii="宋体" w:hAnsi="宋体" w:eastAsia="宋体" w:cs="Times New Roman"/>
        </w:rPr>
      </w:pPr>
      <w:r>
        <w:rPr>
          <w:rFonts w:hint="eastAsia" w:ascii="宋体" w:hAnsi="宋体" w:eastAsia="宋体" w:cs="Times New Roman"/>
        </w:rPr>
        <w:t>秀江流域位于九嶷山西北部，区域内主要为冲积平原。秀江道县河段流域概况图见下图：</w:t>
      </w:r>
    </w:p>
    <w:p>
      <w:pPr>
        <w:pStyle w:val="41"/>
        <w:ind w:firstLine="0" w:firstLineChars="0"/>
        <w:jc w:val="left"/>
      </w:pPr>
      <w:r>
        <w:rPr>
          <w:rFonts w:hint="eastAsia"/>
        </w:rPr>
        <w:drawing>
          <wp:inline distT="0" distB="0" distL="114300" distR="114300">
            <wp:extent cx="4235450" cy="3573145"/>
            <wp:effectExtent l="0" t="0" r="12700" b="8255"/>
            <wp:docPr id="1" name="图片 1" descr="概况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概况图"/>
                    <pic:cNvPicPr>
                      <a:picLocks noChangeAspect="1"/>
                    </pic:cNvPicPr>
                  </pic:nvPicPr>
                  <pic:blipFill>
                    <a:blip r:embed="rId12"/>
                    <a:stretch>
                      <a:fillRect/>
                    </a:stretch>
                  </pic:blipFill>
                  <pic:spPr>
                    <a:xfrm>
                      <a:off x="0" y="0"/>
                      <a:ext cx="4235450" cy="3573145"/>
                    </a:xfrm>
                    <a:prstGeom prst="rect">
                      <a:avLst/>
                    </a:prstGeom>
                  </pic:spPr>
                </pic:pic>
              </a:graphicData>
            </a:graphic>
          </wp:inline>
        </w:drawing>
      </w:r>
    </w:p>
    <w:p>
      <w:pPr>
        <w:pStyle w:val="41"/>
        <w:ind w:firstLine="560"/>
        <w:jc w:val="center"/>
        <w:rPr>
          <w:rFonts w:asciiTheme="minorEastAsia" w:hAnsiTheme="minorEastAsia"/>
        </w:rPr>
      </w:pPr>
      <w:r>
        <w:rPr>
          <w:rFonts w:hint="eastAsia" w:asciiTheme="minorEastAsia" w:hAnsiTheme="minorEastAsia"/>
        </w:rPr>
        <w:t>图1    秀江道县河段流域概况图</w:t>
      </w:r>
    </w:p>
    <w:p>
      <w:pPr>
        <w:pStyle w:val="4"/>
        <w:ind w:left="0" w:firstLine="0"/>
      </w:pPr>
      <w:bookmarkStart w:id="8" w:name="_Toc28281"/>
      <w:bookmarkStart w:id="9" w:name="_Toc21153"/>
      <w:bookmarkStart w:id="10" w:name="_Toc15228263"/>
      <w:bookmarkStart w:id="11" w:name="_Toc11091"/>
      <w:r>
        <w:rPr>
          <w:rFonts w:hint="eastAsia"/>
        </w:rPr>
        <w:t>河段洪水位情况</w:t>
      </w:r>
      <w:bookmarkEnd w:id="8"/>
      <w:bookmarkEnd w:id="9"/>
      <w:bookmarkEnd w:id="10"/>
      <w:bookmarkEnd w:id="11"/>
    </w:p>
    <w:p>
      <w:pPr>
        <w:pStyle w:val="41"/>
        <w:ind w:firstLine="560"/>
        <w:rPr>
          <w:rFonts w:ascii="宋体" w:hAnsi="宋体" w:eastAsia="宋体" w:cs="Times New Roman"/>
        </w:rPr>
      </w:pPr>
      <w:bookmarkStart w:id="12" w:name="_Toc2749"/>
      <w:bookmarkStart w:id="13" w:name="_Toc15228264"/>
      <w:bookmarkStart w:id="14" w:name="_Hlk534276517"/>
      <w:r>
        <w:rPr>
          <w:rFonts w:hint="eastAsia" w:ascii="宋体" w:hAnsi="宋体" w:eastAsia="宋体" w:cs="Times New Roman"/>
        </w:rPr>
        <w:t>秀江流域主要受东南季风的影响，春夏之间雨量集中，秋季多旱，多年平均降水量为1514.5mm，其中4-6月份降水量最多，约占全年降水总量的46.5%。秀江流域暴雨集中、强度大，故春夏易发生山洪，其洪水特性是汇流集中快、历时短、变化大。暴雨在4～7月为锋面暴雨，8月为台风暴雨，前者降雨的天气系统在高空为低槽、低涡，中层为低涡切变，地面为冷锋、静止锋，暴雨的走向多由北向南、由西向东，后者降雨的天气系统为台风或减弱了的热低压，暴雨的走向多由东向西或由东南向西北。</w:t>
      </w:r>
    </w:p>
    <w:p>
      <w:pPr>
        <w:pStyle w:val="41"/>
        <w:ind w:firstLine="560"/>
        <w:rPr>
          <w:rFonts w:ascii="宋体" w:hAnsi="宋体" w:eastAsia="宋体" w:cs="Times New Roman"/>
        </w:rPr>
      </w:pPr>
      <w:r>
        <w:rPr>
          <w:rFonts w:hint="eastAsia" w:ascii="宋体" w:hAnsi="宋体" w:eastAsia="宋体" w:cs="Times New Roman"/>
        </w:rPr>
        <w:t>秀江道县河段全长3.9km，设计洪水位采用本次计算的设计洪水，以控制断面回水推算求得设计洪水位，根据河道水力学水面曲线计算公式：</w:t>
      </w:r>
    </w:p>
    <w:p>
      <w:pPr>
        <w:snapToGrid w:val="0"/>
        <w:spacing w:beforeLines="50" w:line="360" w:lineRule="auto"/>
        <w:ind w:right="31" w:rightChars="15" w:firstLine="570"/>
        <w:rPr>
          <w:sz w:val="28"/>
          <w:szCs w:val="28"/>
        </w:rPr>
      </w:pPr>
      <w:r>
        <w:rPr>
          <w:position w:val="-54"/>
          <w:sz w:val="28"/>
          <w:szCs w:val="28"/>
        </w:rPr>
        <w:object>
          <v:shape id="_x0000_i1025" o:spt="75" type="#_x0000_t75" style="height:50.5pt;width:251.4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pPr>
        <w:snapToGrid w:val="0"/>
        <w:spacing w:beforeLines="50" w:line="360" w:lineRule="auto"/>
        <w:ind w:right="31" w:rightChars="15" w:firstLine="570"/>
        <w:rPr>
          <w:sz w:val="28"/>
          <w:szCs w:val="28"/>
        </w:rPr>
      </w:pPr>
      <w:r>
        <w:rPr>
          <w:rFonts w:hint="eastAsia"/>
          <w:sz w:val="28"/>
          <w:szCs w:val="28"/>
        </w:rPr>
        <w:t>式中：</w:t>
      </w:r>
    </w:p>
    <w:p>
      <w:pPr>
        <w:snapToGrid w:val="0"/>
        <w:spacing w:beforeLines="25" w:line="360" w:lineRule="auto"/>
        <w:ind w:right="31" w:rightChars="15" w:firstLine="570"/>
        <w:rPr>
          <w:sz w:val="28"/>
          <w:szCs w:val="28"/>
        </w:rPr>
      </w:pPr>
      <w:r>
        <w:rPr>
          <w:rFonts w:hint="eastAsia"/>
          <w:sz w:val="28"/>
          <w:szCs w:val="28"/>
        </w:rPr>
        <w:t>Z</w:t>
      </w:r>
      <w:r>
        <w:rPr>
          <w:rFonts w:hint="eastAsia"/>
          <w:sz w:val="28"/>
          <w:szCs w:val="28"/>
          <w:vertAlign w:val="subscript"/>
        </w:rPr>
        <w:t>上</w:t>
      </w:r>
      <w:r>
        <w:rPr>
          <w:rFonts w:hint="eastAsia"/>
          <w:sz w:val="28"/>
          <w:szCs w:val="28"/>
        </w:rPr>
        <w:t>、Z</w:t>
      </w:r>
      <w:r>
        <w:rPr>
          <w:rFonts w:hint="eastAsia"/>
          <w:sz w:val="28"/>
          <w:szCs w:val="28"/>
          <w:vertAlign w:val="subscript"/>
        </w:rPr>
        <w:t>下</w:t>
      </w:r>
      <w:r>
        <w:rPr>
          <w:rFonts w:hint="eastAsia"/>
          <w:sz w:val="28"/>
          <w:szCs w:val="28"/>
        </w:rPr>
        <w:t>——上、下断面水位，</w:t>
      </w:r>
      <w:r>
        <w:rPr>
          <w:sz w:val="28"/>
          <w:szCs w:val="28"/>
        </w:rPr>
        <w:t>m</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V</w:t>
      </w:r>
      <w:r>
        <w:rPr>
          <w:rFonts w:hint="eastAsia"/>
          <w:sz w:val="28"/>
          <w:szCs w:val="28"/>
          <w:vertAlign w:val="subscript"/>
        </w:rPr>
        <w:t>上</w:t>
      </w:r>
      <w:r>
        <w:rPr>
          <w:rFonts w:hint="eastAsia"/>
          <w:sz w:val="28"/>
          <w:szCs w:val="28"/>
        </w:rPr>
        <w:t>、V</w:t>
      </w:r>
      <w:r>
        <w:rPr>
          <w:rFonts w:hint="eastAsia"/>
          <w:sz w:val="28"/>
          <w:szCs w:val="28"/>
          <w:vertAlign w:val="subscript"/>
        </w:rPr>
        <w:t>下</w:t>
      </w:r>
      <w:r>
        <w:rPr>
          <w:rFonts w:hint="eastAsia"/>
          <w:sz w:val="28"/>
          <w:szCs w:val="28"/>
        </w:rPr>
        <w:t>——上、下断面流速，</w:t>
      </w:r>
      <w:r>
        <w:rPr>
          <w:sz w:val="28"/>
          <w:szCs w:val="28"/>
        </w:rPr>
        <w:t>m/s</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Q——河道流量，</w:t>
      </w:r>
      <w:r>
        <w:rPr>
          <w:sz w:val="28"/>
          <w:szCs w:val="28"/>
        </w:rPr>
        <w:t>m</w:t>
      </w:r>
      <w:r>
        <w:rPr>
          <w:sz w:val="28"/>
          <w:szCs w:val="28"/>
          <w:vertAlign w:val="superscript"/>
        </w:rPr>
        <w:t>3</w:t>
      </w:r>
      <w:r>
        <w:rPr>
          <w:sz w:val="28"/>
          <w:szCs w:val="28"/>
        </w:rPr>
        <w:t>/s</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Δs——上下断面间距，</w:t>
      </w:r>
      <w:r>
        <w:rPr>
          <w:sz w:val="28"/>
          <w:szCs w:val="28"/>
        </w:rPr>
        <w:t>m</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α——动能校正系数，取1.05；</w:t>
      </w:r>
    </w:p>
    <w:p>
      <w:pPr>
        <w:snapToGrid w:val="0"/>
        <w:spacing w:beforeLines="25" w:line="360" w:lineRule="auto"/>
        <w:ind w:right="31" w:rightChars="15" w:firstLine="570"/>
        <w:rPr>
          <w:sz w:val="28"/>
          <w:szCs w:val="28"/>
          <w:vertAlign w:val="superscript"/>
        </w:rPr>
      </w:pPr>
      <w:r>
        <w:rPr>
          <w:position w:val="-6"/>
          <w:sz w:val="28"/>
          <w:szCs w:val="28"/>
        </w:rPr>
        <w:object>
          <v:shape id="_x0000_i1026" o:spt="75" type="#_x0000_t75" style="height:21.5pt;width:9.6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sz w:val="28"/>
          <w:szCs w:val="28"/>
        </w:rPr>
        <w:t>——河段平均流量模数,</w:t>
      </w:r>
      <w:r>
        <w:rPr>
          <w:position w:val="-6"/>
          <w:sz w:val="28"/>
          <w:szCs w:val="28"/>
        </w:rPr>
        <w:object>
          <v:shape id="_x0000_i1027" o:spt="75" type="#_x0000_t75" style="height:21.5pt;width:9.6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sz w:val="28"/>
          <w:szCs w:val="28"/>
          <w:vertAlign w:val="superscript"/>
        </w:rPr>
        <w:t>2</w:t>
      </w:r>
      <w:r>
        <w:rPr>
          <w:rFonts w:hint="eastAsia"/>
          <w:sz w:val="28"/>
          <w:szCs w:val="28"/>
        </w:rPr>
        <w:t>=</w:t>
      </w:r>
      <w:r>
        <w:rPr>
          <w:position w:val="-24"/>
          <w:sz w:val="28"/>
          <w:szCs w:val="28"/>
        </w:rPr>
        <w:object>
          <v:shape id="_x0000_i1028" o:spt="75" type="#_x0000_t75" style="height:31.15pt;width:11.8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sz w:val="28"/>
          <w:szCs w:val="28"/>
        </w:rPr>
        <w:t>(</w:t>
      </w:r>
      <w:r>
        <w:rPr>
          <w:position w:val="-6"/>
          <w:sz w:val="28"/>
          <w:szCs w:val="28"/>
        </w:rPr>
        <w:object>
          <v:shape id="_x0000_i1029" o:spt="75" type="#_x0000_t75" style="height:21.5pt;width:9.6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21">
            <o:LockedField>false</o:LockedField>
          </o:OLEObject>
        </w:object>
      </w:r>
      <w:r>
        <w:rPr>
          <w:rFonts w:hint="eastAsia"/>
          <w:sz w:val="28"/>
          <w:szCs w:val="28"/>
          <w:vertAlign w:val="subscript"/>
        </w:rPr>
        <w:t>上</w:t>
      </w:r>
      <w:r>
        <w:rPr>
          <w:rFonts w:hint="eastAsia"/>
          <w:sz w:val="28"/>
          <w:szCs w:val="28"/>
          <w:vertAlign w:val="superscript"/>
        </w:rPr>
        <w:t>2</w:t>
      </w:r>
      <w:r>
        <w:rPr>
          <w:rFonts w:hint="eastAsia"/>
          <w:sz w:val="28"/>
          <w:szCs w:val="28"/>
        </w:rPr>
        <w:t>+</w:t>
      </w:r>
      <w:r>
        <w:rPr>
          <w:position w:val="-6"/>
          <w:sz w:val="28"/>
          <w:szCs w:val="28"/>
        </w:rPr>
        <w:object>
          <v:shape id="_x0000_i1030" o:spt="75" type="#_x0000_t75" style="height:21.5pt;width:9.6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22">
            <o:LockedField>false</o:LockedField>
          </o:OLEObject>
        </w:object>
      </w:r>
      <w:r>
        <w:rPr>
          <w:rFonts w:hint="eastAsia"/>
          <w:sz w:val="28"/>
          <w:szCs w:val="28"/>
          <w:vertAlign w:val="subscript"/>
        </w:rPr>
        <w:t>下</w:t>
      </w:r>
      <w:r>
        <w:rPr>
          <w:rFonts w:hint="eastAsia"/>
          <w:sz w:val="28"/>
          <w:szCs w:val="28"/>
          <w:vertAlign w:val="superscript"/>
        </w:rPr>
        <w:t>2</w:t>
      </w:r>
      <w:r>
        <w:rPr>
          <w:rFonts w:hint="eastAsia"/>
          <w:sz w:val="28"/>
          <w:szCs w:val="28"/>
        </w:rPr>
        <w:t>)；</w:t>
      </w:r>
    </w:p>
    <w:p>
      <w:pPr>
        <w:snapToGrid w:val="0"/>
        <w:spacing w:beforeLines="25" w:line="360" w:lineRule="auto"/>
        <w:ind w:right="31" w:rightChars="15" w:firstLine="570"/>
        <w:rPr>
          <w:sz w:val="28"/>
          <w:szCs w:val="28"/>
        </w:rPr>
      </w:pPr>
      <w:r>
        <w:rPr>
          <w:position w:val="-16"/>
          <w:sz w:val="28"/>
          <w:szCs w:val="28"/>
        </w:rPr>
        <w:object>
          <v:shape id="_x0000_i1031" o:spt="75" type="#_x0000_t75" style="height:29pt;width:12.9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r>
        <w:rPr>
          <w:rFonts w:hint="eastAsia"/>
          <w:sz w:val="28"/>
          <w:szCs w:val="28"/>
        </w:rPr>
        <w:t>——河段平均局部水头损失系数；</w:t>
      </w:r>
    </w:p>
    <w:p>
      <w:pPr>
        <w:snapToGrid w:val="0"/>
        <w:spacing w:beforeLines="25" w:line="360" w:lineRule="auto"/>
        <w:ind w:right="31" w:rightChars="15" w:firstLine="565" w:firstLineChars="202"/>
        <w:rPr>
          <w:sz w:val="28"/>
          <w:szCs w:val="28"/>
        </w:rPr>
      </w:pPr>
      <w:r>
        <w:rPr>
          <w:rFonts w:hint="eastAsia"/>
          <w:sz w:val="28"/>
          <w:szCs w:val="28"/>
        </w:rPr>
        <w:t>g——重力加速度，</w:t>
      </w:r>
      <w:r>
        <w:rPr>
          <w:sz w:val="28"/>
          <w:szCs w:val="28"/>
        </w:rPr>
        <w:t>m/s</w:t>
      </w:r>
      <w:r>
        <w:rPr>
          <w:rFonts w:hint="eastAsia"/>
          <w:sz w:val="28"/>
          <w:szCs w:val="28"/>
          <w:vertAlign w:val="superscript"/>
        </w:rPr>
        <w:t>2</w:t>
      </w:r>
      <w:r>
        <w:rPr>
          <w:rFonts w:hint="eastAsia"/>
          <w:sz w:val="28"/>
          <w:szCs w:val="28"/>
        </w:rPr>
        <w:t>；</w:t>
      </w:r>
    </w:p>
    <w:p>
      <w:pPr>
        <w:spacing w:beforeLines="50" w:line="360" w:lineRule="auto"/>
        <w:ind w:firstLine="536" w:firstLineChars="200"/>
        <w:rPr>
          <w:rFonts w:hAnsi="宋体"/>
          <w:spacing w:val="-6"/>
          <w:sz w:val="28"/>
          <w:szCs w:val="28"/>
        </w:rPr>
      </w:pPr>
      <w:r>
        <w:rPr>
          <w:spacing w:val="-6"/>
          <w:sz w:val="28"/>
          <w:szCs w:val="28"/>
        </w:rPr>
        <w:t>采用程序计算</w:t>
      </w:r>
      <w:r>
        <w:rPr>
          <w:rFonts w:hint="eastAsia"/>
          <w:sz w:val="28"/>
          <w:szCs w:val="28"/>
        </w:rPr>
        <w:t>秀江道县河段划定的管理范围</w:t>
      </w:r>
      <w:r>
        <w:rPr>
          <w:spacing w:val="-6"/>
          <w:sz w:val="28"/>
          <w:szCs w:val="28"/>
        </w:rPr>
        <w:t>各个断面</w:t>
      </w:r>
      <w:r>
        <w:rPr>
          <w:rFonts w:hint="eastAsia"/>
          <w:spacing w:val="-6"/>
          <w:sz w:val="28"/>
          <w:szCs w:val="28"/>
        </w:rPr>
        <w:t>的</w:t>
      </w:r>
      <w:r>
        <w:rPr>
          <w:spacing w:val="-6"/>
          <w:sz w:val="28"/>
          <w:szCs w:val="28"/>
        </w:rPr>
        <w:t>设计洪水位</w:t>
      </w:r>
      <w:r>
        <w:rPr>
          <w:rFonts w:hint="eastAsia"/>
          <w:spacing w:val="-6"/>
          <w:sz w:val="28"/>
          <w:szCs w:val="28"/>
        </w:rPr>
        <w:t>，计算结果见表2.1-1</w:t>
      </w:r>
      <w:r>
        <w:rPr>
          <w:rFonts w:hAnsi="宋体"/>
          <w:spacing w:val="-6"/>
          <w:sz w:val="28"/>
          <w:szCs w:val="28"/>
        </w:rPr>
        <w:t>。</w:t>
      </w:r>
    </w:p>
    <w:p>
      <w:pPr>
        <w:snapToGrid w:val="0"/>
        <w:spacing w:beforeLines="50" w:line="360" w:lineRule="auto"/>
        <w:rPr>
          <w:rFonts w:ascii="Times New Roman" w:hAnsi="Times New Roman" w:eastAsia="宋体" w:cs="Times New Roman"/>
          <w:b/>
          <w:szCs w:val="21"/>
        </w:rPr>
      </w:pPr>
      <w:r>
        <w:rPr>
          <w:rFonts w:ascii="Times New Roman" w:hAnsi="Times New Roman" w:eastAsia="宋体" w:cs="Times New Roman"/>
          <w:b/>
          <w:szCs w:val="21"/>
        </w:rPr>
        <w:t>表</w:t>
      </w:r>
      <w:r>
        <w:rPr>
          <w:rFonts w:hint="eastAsia" w:ascii="Times New Roman" w:hAnsi="Times New Roman" w:eastAsia="宋体" w:cs="Times New Roman"/>
          <w:b/>
          <w:szCs w:val="21"/>
        </w:rPr>
        <w:t>2.1</w:t>
      </w:r>
      <w:r>
        <w:rPr>
          <w:rFonts w:ascii="Times New Roman" w:hAnsi="Times New Roman" w:eastAsia="宋体" w:cs="Times New Roman"/>
          <w:b/>
          <w:szCs w:val="21"/>
        </w:rPr>
        <w:t>-</w:t>
      </w:r>
      <w:r>
        <w:rPr>
          <w:rFonts w:hint="eastAsia" w:cs="Times New Roman"/>
          <w:b/>
          <w:szCs w:val="21"/>
        </w:rPr>
        <w:t>1                秀江道县</w:t>
      </w:r>
      <w:r>
        <w:rPr>
          <w:rFonts w:hint="eastAsia" w:ascii="Times New Roman" w:hAnsi="Times New Roman" w:eastAsia="宋体" w:cs="Times New Roman"/>
          <w:b/>
          <w:szCs w:val="21"/>
        </w:rPr>
        <w:t>段</w:t>
      </w:r>
      <w:r>
        <w:rPr>
          <w:rFonts w:hint="eastAsia" w:cs="Times New Roman"/>
          <w:b/>
          <w:szCs w:val="21"/>
        </w:rPr>
        <w:t>设计洪水位成果表</w:t>
      </w:r>
    </w:p>
    <w:tbl>
      <w:tblPr>
        <w:tblStyle w:val="22"/>
        <w:tblW w:w="862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1520"/>
        <w:gridCol w:w="1269"/>
        <w:gridCol w:w="1478"/>
        <w:gridCol w:w="1739"/>
        <w:gridCol w:w="14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tblHeader/>
        </w:trPr>
        <w:tc>
          <w:tcPr>
            <w:tcW w:w="1174" w:type="dxa"/>
            <w:noWrap/>
            <w:vAlign w:val="center"/>
          </w:tcPr>
          <w:p>
            <w:pPr>
              <w:jc w:val="center"/>
              <w:rPr>
                <w:rFonts w:ascii="Times New Roman" w:hAnsi="宋体" w:eastAsia="宋体" w:cs="Times New Roman"/>
                <w:szCs w:val="21"/>
              </w:rPr>
            </w:pPr>
            <w:r>
              <w:rPr>
                <w:rFonts w:hint="eastAsia" w:ascii="Times New Roman" w:hAnsi="宋体" w:eastAsia="宋体" w:cs="Times New Roman"/>
                <w:szCs w:val="21"/>
              </w:rPr>
              <w:t>断面</w:t>
            </w:r>
          </w:p>
          <w:p>
            <w:pPr>
              <w:jc w:val="center"/>
              <w:rPr>
                <w:rFonts w:ascii="Times New Roman" w:hAnsi="宋体" w:eastAsia="宋体" w:cs="Times New Roman"/>
                <w:szCs w:val="21"/>
              </w:rPr>
            </w:pPr>
            <w:r>
              <w:rPr>
                <w:rFonts w:hint="eastAsia" w:ascii="Times New Roman" w:hAnsi="宋体" w:eastAsia="宋体" w:cs="Times New Roman"/>
                <w:szCs w:val="21"/>
              </w:rPr>
              <w:t>编号</w:t>
            </w:r>
          </w:p>
        </w:tc>
        <w:tc>
          <w:tcPr>
            <w:tcW w:w="1520" w:type="dxa"/>
            <w:noWrap/>
            <w:vAlign w:val="center"/>
          </w:tcPr>
          <w:p>
            <w:pPr>
              <w:jc w:val="center"/>
              <w:rPr>
                <w:rFonts w:ascii="Times New Roman" w:hAnsi="宋体" w:eastAsia="宋体" w:cs="Times New Roman"/>
                <w:szCs w:val="21"/>
              </w:rPr>
            </w:pPr>
            <w:r>
              <w:rPr>
                <w:rFonts w:hint="eastAsia" w:hAnsi="宋体" w:cs="Times New Roman"/>
                <w:szCs w:val="21"/>
              </w:rPr>
              <w:t>地名</w:t>
            </w:r>
          </w:p>
        </w:tc>
        <w:tc>
          <w:tcPr>
            <w:tcW w:w="1269" w:type="dxa"/>
            <w:noWrap/>
            <w:vAlign w:val="center"/>
          </w:tcPr>
          <w:p>
            <w:pPr>
              <w:jc w:val="center"/>
              <w:rPr>
                <w:rFonts w:hAnsi="宋体" w:cs="Times New Roman"/>
                <w:szCs w:val="21"/>
              </w:rPr>
            </w:pPr>
            <w:r>
              <w:rPr>
                <w:rFonts w:hint="eastAsia" w:hAnsi="宋体" w:cs="Times New Roman"/>
                <w:szCs w:val="21"/>
              </w:rPr>
              <w:t xml:space="preserve">间距  </w:t>
            </w:r>
          </w:p>
          <w:p>
            <w:pPr>
              <w:jc w:val="center"/>
              <w:rPr>
                <w:rFonts w:ascii="Times New Roman" w:hAnsi="宋体" w:eastAsia="宋体" w:cs="Times New Roman"/>
                <w:szCs w:val="21"/>
              </w:rPr>
            </w:pPr>
            <w:r>
              <w:rPr>
                <w:rFonts w:eastAsia="宋体"/>
                <w:szCs w:val="21"/>
              </w:rPr>
              <w:t>(m)</w:t>
            </w:r>
          </w:p>
        </w:tc>
        <w:tc>
          <w:tcPr>
            <w:tcW w:w="1478" w:type="dxa"/>
            <w:noWrap/>
            <w:vAlign w:val="center"/>
          </w:tcPr>
          <w:p>
            <w:pPr>
              <w:jc w:val="center"/>
              <w:rPr>
                <w:rFonts w:hAnsi="宋体" w:cs="Times New Roman"/>
                <w:szCs w:val="21"/>
              </w:rPr>
            </w:pPr>
            <w:r>
              <w:rPr>
                <w:rFonts w:hint="eastAsia" w:ascii="Times New Roman" w:hAnsi="宋体" w:eastAsia="宋体" w:cs="Times New Roman"/>
                <w:szCs w:val="21"/>
              </w:rPr>
              <w:t>累距</w:t>
            </w:r>
          </w:p>
          <w:p>
            <w:pPr>
              <w:jc w:val="center"/>
              <w:rPr>
                <w:rFonts w:ascii="Times New Roman" w:hAnsi="宋体" w:eastAsia="宋体" w:cs="Times New Roman"/>
                <w:szCs w:val="21"/>
              </w:rPr>
            </w:pPr>
            <w:r>
              <w:rPr>
                <w:rFonts w:eastAsia="宋体"/>
                <w:szCs w:val="21"/>
              </w:rPr>
              <w:t>(m)</w:t>
            </w:r>
          </w:p>
        </w:tc>
        <w:tc>
          <w:tcPr>
            <w:tcW w:w="1739" w:type="dxa"/>
            <w:noWrap/>
            <w:vAlign w:val="center"/>
          </w:tcPr>
          <w:p>
            <w:pPr>
              <w:jc w:val="center"/>
              <w:rPr>
                <w:rFonts w:ascii="Times New Roman" w:hAnsi="宋体" w:eastAsia="宋体" w:cs="Times New Roman"/>
                <w:szCs w:val="21"/>
              </w:rPr>
            </w:pPr>
            <w:r>
              <w:rPr>
                <w:rFonts w:hint="eastAsia" w:hAnsi="宋体" w:cs="Times New Roman"/>
                <w:szCs w:val="21"/>
              </w:rPr>
              <w:t>设计洪水</w:t>
            </w:r>
            <w:r>
              <w:rPr>
                <w:rFonts w:hint="eastAsia" w:ascii="Times New Roman" w:hAnsi="宋体" w:eastAsia="宋体" w:cs="Times New Roman"/>
                <w:szCs w:val="21"/>
              </w:rPr>
              <w:t>标准</w:t>
            </w:r>
          </w:p>
          <w:p>
            <w:pPr>
              <w:jc w:val="center"/>
              <w:rPr>
                <w:rFonts w:ascii="Times New Roman" w:hAnsi="宋体" w:eastAsia="宋体" w:cs="Times New Roman"/>
                <w:szCs w:val="21"/>
              </w:rPr>
            </w:pPr>
            <w:r>
              <w:rPr>
                <w:rFonts w:hint="eastAsia" w:ascii="Times New Roman" w:hAnsi="宋体" w:eastAsia="宋体" w:cs="Times New Roman"/>
                <w:szCs w:val="21"/>
              </w:rPr>
              <w:t>（%）</w:t>
            </w:r>
          </w:p>
        </w:tc>
        <w:tc>
          <w:tcPr>
            <w:tcW w:w="1440" w:type="dxa"/>
            <w:noWrap/>
            <w:vAlign w:val="center"/>
          </w:tcPr>
          <w:p>
            <w:pPr>
              <w:jc w:val="center"/>
              <w:rPr>
                <w:rFonts w:ascii="Times New Roman" w:hAnsi="宋体" w:eastAsia="宋体" w:cs="Times New Roman"/>
                <w:szCs w:val="21"/>
              </w:rPr>
            </w:pPr>
            <w:r>
              <w:rPr>
                <w:rFonts w:hint="eastAsia" w:ascii="Times New Roman" w:hAnsi="宋体" w:eastAsia="宋体" w:cs="Times New Roman"/>
                <w:szCs w:val="21"/>
              </w:rPr>
              <w:t>设计洪水位(m)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CS01</w:t>
            </w:r>
          </w:p>
        </w:tc>
        <w:tc>
          <w:tcPr>
            <w:tcW w:w="1520" w:type="dxa"/>
            <w:noWrap/>
            <w:vAlign w:val="center"/>
          </w:tcPr>
          <w:p>
            <w:pPr>
              <w:widowControl/>
              <w:jc w:val="center"/>
              <w:textAlignment w:val="center"/>
              <w:rPr>
                <w:rFonts w:ascii="Times New Roman" w:hAnsi="宋体" w:eastAsia="宋体" w:cs="Times New Roman"/>
                <w:color w:val="FF0000"/>
                <w:szCs w:val="21"/>
              </w:rPr>
            </w:pPr>
            <w:r>
              <w:rPr>
                <w:rFonts w:hint="eastAsia" w:ascii="宋体" w:hAnsi="宋体" w:eastAsia="宋体" w:cs="宋体"/>
                <w:color w:val="000000"/>
                <w:kern w:val="0"/>
                <w:szCs w:val="21"/>
              </w:rPr>
              <w:t>下游省界</w:t>
            </w: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1644.48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CS02</w:t>
            </w:r>
          </w:p>
        </w:tc>
        <w:tc>
          <w:tcPr>
            <w:tcW w:w="1520" w:type="dxa"/>
            <w:noWrap/>
            <w:vAlign w:val="center"/>
          </w:tcPr>
          <w:p>
            <w:pPr>
              <w:widowControl/>
              <w:jc w:val="center"/>
              <w:textAlignment w:val="center"/>
              <w:rPr>
                <w:rFonts w:ascii="Times New Roman" w:hAnsi="宋体" w:eastAsia="宋体" w:cs="Times New Roman"/>
                <w:color w:val="FF0000"/>
                <w:szCs w:val="21"/>
              </w:rPr>
            </w:pPr>
            <w:r>
              <w:rPr>
                <w:rFonts w:hint="eastAsia" w:ascii="宋体" w:hAnsi="宋体" w:eastAsia="宋体" w:cs="宋体"/>
                <w:color w:val="000000"/>
                <w:kern w:val="0"/>
                <w:szCs w:val="21"/>
              </w:rPr>
              <w:t>四十八步</w:t>
            </w: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1661.46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CS03</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60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240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1671.4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CS04</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80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320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1684.59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CS05</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420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1690.03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CS06</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620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1695.61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CS07</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800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1719.08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CS08</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1000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174</w:t>
            </w:r>
            <w:r>
              <w:rPr>
                <w:rFonts w:hint="eastAsia" w:cs="Times New Roman"/>
                <w:color w:val="000000"/>
                <w:kern w:val="0"/>
                <w:szCs w:val="21"/>
              </w:rPr>
              <w:t>0</w:t>
            </w:r>
            <w:r>
              <w:rPr>
                <w:rFonts w:ascii="Times New Roman" w:hAnsi="Times New Roman" w:eastAsia="宋体" w:cs="Times New Roman"/>
                <w:color w:val="000000"/>
                <w:kern w:val="0"/>
                <w:szCs w:val="21"/>
              </w:rPr>
              <w:t>.06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CS09</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1180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1745.29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CS10</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1280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1747.96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CS11</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1380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1759.87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CS12</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40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1420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1765.84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CS13</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60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1480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1767.43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CS14</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40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1520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1769.13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CS15</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1720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1778.35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CS16</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140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1860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1779.08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CS17</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2060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1785.57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CS18</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120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2180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1788.48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CS19</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2380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1788.55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CS20</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2580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1792.01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CS21</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2780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1797.57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CS22</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2980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1800.33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CS23</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3180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1806.61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CS24</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3380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1815.22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CS25</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200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3580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1826.99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9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CS26</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60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3640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1829.93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98"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CS27</w:t>
            </w:r>
          </w:p>
        </w:tc>
        <w:tc>
          <w:tcPr>
            <w:tcW w:w="1520" w:type="dxa"/>
            <w:noWrap/>
            <w:vAlign w:val="center"/>
          </w:tcPr>
          <w:p>
            <w:pPr>
              <w:jc w:val="center"/>
              <w:rPr>
                <w:rFonts w:ascii="Times New Roman" w:hAnsi="宋体" w:eastAsia="宋体" w:cs="Times New Roman"/>
                <w:color w:val="FF0000"/>
                <w:szCs w:val="21"/>
              </w:rPr>
            </w:pP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80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3720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1830.42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74"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CS28</w:t>
            </w:r>
          </w:p>
        </w:tc>
        <w:tc>
          <w:tcPr>
            <w:tcW w:w="1520" w:type="dxa"/>
            <w:noWrap/>
            <w:vAlign w:val="center"/>
          </w:tcPr>
          <w:p>
            <w:pPr>
              <w:widowControl/>
              <w:jc w:val="center"/>
              <w:textAlignment w:val="center"/>
              <w:rPr>
                <w:rFonts w:ascii="Times New Roman" w:hAnsi="宋体" w:eastAsia="宋体" w:cs="Times New Roman"/>
                <w:color w:val="FF0000"/>
                <w:szCs w:val="21"/>
              </w:rPr>
            </w:pPr>
            <w:r>
              <w:rPr>
                <w:rFonts w:hint="eastAsia" w:ascii="宋体" w:hAnsi="宋体" w:eastAsia="宋体" w:cs="宋体"/>
                <w:color w:val="000000"/>
                <w:kern w:val="0"/>
                <w:szCs w:val="21"/>
              </w:rPr>
              <w:t>上游终点</w:t>
            </w:r>
          </w:p>
        </w:tc>
        <w:tc>
          <w:tcPr>
            <w:tcW w:w="126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220</w:t>
            </w:r>
          </w:p>
        </w:tc>
        <w:tc>
          <w:tcPr>
            <w:tcW w:w="1478"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3940</w:t>
            </w:r>
          </w:p>
        </w:tc>
        <w:tc>
          <w:tcPr>
            <w:tcW w:w="1739"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10</w:t>
            </w:r>
          </w:p>
        </w:tc>
        <w:tc>
          <w:tcPr>
            <w:tcW w:w="1440" w:type="dxa"/>
            <w:noWrap/>
            <w:vAlign w:val="center"/>
          </w:tcPr>
          <w:p>
            <w:pPr>
              <w:widowControl/>
              <w:jc w:val="center"/>
              <w:textAlignment w:val="center"/>
              <w:rPr>
                <w:rFonts w:ascii="Times New Roman" w:hAnsi="宋体" w:eastAsia="宋体" w:cs="Times New Roman"/>
                <w:color w:val="FF0000"/>
                <w:szCs w:val="21"/>
              </w:rPr>
            </w:pPr>
            <w:r>
              <w:rPr>
                <w:rFonts w:ascii="Times New Roman" w:hAnsi="Times New Roman" w:eastAsia="宋体" w:cs="Times New Roman"/>
                <w:color w:val="000000"/>
                <w:kern w:val="0"/>
                <w:szCs w:val="21"/>
              </w:rPr>
              <w:t>183</w:t>
            </w:r>
            <w:r>
              <w:rPr>
                <w:rFonts w:hint="eastAsia" w:ascii="Times New Roman" w:hAnsi="Times New Roman" w:eastAsia="宋体" w:cs="Times New Roman"/>
                <w:color w:val="000000"/>
                <w:kern w:val="0"/>
                <w:szCs w:val="21"/>
              </w:rPr>
              <w:t>8</w:t>
            </w:r>
            <w:r>
              <w:rPr>
                <w:rFonts w:ascii="Times New Roman" w:hAnsi="Times New Roman" w:eastAsia="宋体" w:cs="Times New Roman"/>
                <w:color w:val="000000"/>
                <w:kern w:val="0"/>
                <w:szCs w:val="21"/>
              </w:rPr>
              <w:t>.</w:t>
            </w:r>
            <w:r>
              <w:rPr>
                <w:rFonts w:hint="eastAsia" w:ascii="Times New Roman" w:hAnsi="Times New Roman" w:eastAsia="宋体" w:cs="Times New Roman"/>
                <w:color w:val="000000"/>
                <w:kern w:val="0"/>
                <w:szCs w:val="21"/>
              </w:rPr>
              <w:t>54</w:t>
            </w:r>
          </w:p>
        </w:tc>
      </w:tr>
    </w:tbl>
    <w:p>
      <w:pPr>
        <w:pStyle w:val="4"/>
        <w:ind w:left="0" w:firstLine="0"/>
      </w:pPr>
      <w:bookmarkStart w:id="15" w:name="_Toc24979"/>
      <w:bookmarkStart w:id="16" w:name="_Toc20066"/>
      <w:r>
        <w:rPr>
          <w:rFonts w:hint="eastAsia"/>
        </w:rPr>
        <w:t>河段岸线情况</w:t>
      </w:r>
      <w:bookmarkEnd w:id="12"/>
      <w:bookmarkEnd w:id="13"/>
      <w:bookmarkEnd w:id="15"/>
      <w:bookmarkEnd w:id="16"/>
    </w:p>
    <w:p>
      <w:pPr>
        <w:pStyle w:val="41"/>
        <w:ind w:firstLine="560"/>
      </w:pPr>
      <w:r>
        <w:rPr>
          <w:rFonts w:hint="eastAsia"/>
        </w:rPr>
        <w:t>秀江全河段未修建堤防，因河流右岸为广西壮族自治区灌阳县管理，本次只对河流左岸进行划分，具体情况如表2.2-1。</w:t>
      </w:r>
    </w:p>
    <w:p>
      <w:pPr>
        <w:rPr>
          <w:b/>
        </w:rPr>
      </w:pPr>
      <w:r>
        <w:rPr>
          <w:rFonts w:hint="eastAsia"/>
          <w:b/>
        </w:rPr>
        <w:t>表2.2-1                    秀江道县河段岸线情况</w:t>
      </w:r>
    </w:p>
    <w:tbl>
      <w:tblPr>
        <w:tblStyle w:val="23"/>
        <w:tblW w:w="86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
        <w:gridCol w:w="713"/>
        <w:gridCol w:w="1006"/>
        <w:gridCol w:w="710"/>
        <w:gridCol w:w="1024"/>
        <w:gridCol w:w="390"/>
        <w:gridCol w:w="702"/>
        <w:gridCol w:w="702"/>
        <w:gridCol w:w="702"/>
        <w:gridCol w:w="392"/>
        <w:gridCol w:w="651"/>
        <w:gridCol w:w="708"/>
        <w:gridCol w:w="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blHeader/>
          <w:jc w:val="center"/>
        </w:trPr>
        <w:tc>
          <w:tcPr>
            <w:tcW w:w="391" w:type="dxa"/>
            <w:vMerge w:val="restart"/>
            <w:vAlign w:val="center"/>
          </w:tcPr>
          <w:p>
            <w:pPr>
              <w:pStyle w:val="41"/>
              <w:ind w:firstLine="0" w:firstLineChars="0"/>
              <w:jc w:val="center"/>
              <w:rPr>
                <w:sz w:val="21"/>
                <w:szCs w:val="21"/>
              </w:rPr>
            </w:pPr>
            <w:r>
              <w:rPr>
                <w:rFonts w:hint="eastAsia"/>
                <w:sz w:val="21"/>
                <w:szCs w:val="21"/>
              </w:rPr>
              <w:t>岸别</w:t>
            </w:r>
          </w:p>
        </w:tc>
        <w:tc>
          <w:tcPr>
            <w:tcW w:w="1719" w:type="dxa"/>
            <w:gridSpan w:val="2"/>
            <w:vAlign w:val="center"/>
          </w:tcPr>
          <w:p>
            <w:pPr>
              <w:pStyle w:val="41"/>
              <w:ind w:firstLine="0" w:firstLineChars="0"/>
              <w:jc w:val="center"/>
              <w:rPr>
                <w:sz w:val="21"/>
                <w:szCs w:val="21"/>
              </w:rPr>
            </w:pPr>
            <w:r>
              <w:rPr>
                <w:rFonts w:hint="eastAsia"/>
                <w:sz w:val="21"/>
                <w:szCs w:val="21"/>
              </w:rPr>
              <w:t>起点</w:t>
            </w:r>
          </w:p>
        </w:tc>
        <w:tc>
          <w:tcPr>
            <w:tcW w:w="1734" w:type="dxa"/>
            <w:gridSpan w:val="2"/>
            <w:vAlign w:val="center"/>
          </w:tcPr>
          <w:p>
            <w:pPr>
              <w:pStyle w:val="41"/>
              <w:ind w:firstLine="0" w:firstLineChars="0"/>
              <w:jc w:val="center"/>
              <w:rPr>
                <w:sz w:val="21"/>
                <w:szCs w:val="21"/>
              </w:rPr>
            </w:pPr>
            <w:r>
              <w:rPr>
                <w:rFonts w:hint="eastAsia"/>
                <w:sz w:val="21"/>
                <w:szCs w:val="21"/>
              </w:rPr>
              <w:t>终点</w:t>
            </w:r>
          </w:p>
        </w:tc>
        <w:tc>
          <w:tcPr>
            <w:tcW w:w="2888" w:type="dxa"/>
            <w:gridSpan w:val="5"/>
            <w:vAlign w:val="center"/>
          </w:tcPr>
          <w:p>
            <w:pPr>
              <w:pStyle w:val="41"/>
              <w:ind w:firstLine="0" w:firstLineChars="0"/>
              <w:jc w:val="center"/>
              <w:rPr>
                <w:sz w:val="21"/>
                <w:szCs w:val="21"/>
              </w:rPr>
            </w:pPr>
            <w:r>
              <w:rPr>
                <w:rFonts w:hint="eastAsia"/>
                <w:sz w:val="21"/>
                <w:szCs w:val="21"/>
              </w:rPr>
              <w:t>有堤防</w:t>
            </w:r>
          </w:p>
        </w:tc>
        <w:tc>
          <w:tcPr>
            <w:tcW w:w="1359" w:type="dxa"/>
            <w:gridSpan w:val="2"/>
            <w:vAlign w:val="center"/>
          </w:tcPr>
          <w:p>
            <w:pPr>
              <w:pStyle w:val="41"/>
              <w:ind w:firstLine="0" w:firstLineChars="0"/>
              <w:jc w:val="center"/>
              <w:rPr>
                <w:sz w:val="21"/>
                <w:szCs w:val="21"/>
              </w:rPr>
            </w:pPr>
            <w:r>
              <w:rPr>
                <w:rFonts w:hint="eastAsia"/>
                <w:sz w:val="21"/>
                <w:szCs w:val="21"/>
              </w:rPr>
              <w:t>无堤防</w:t>
            </w:r>
          </w:p>
        </w:tc>
        <w:tc>
          <w:tcPr>
            <w:tcW w:w="520" w:type="dxa"/>
            <w:vAlign w:val="center"/>
          </w:tcPr>
          <w:p>
            <w:pPr>
              <w:pStyle w:val="41"/>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blHeader/>
          <w:jc w:val="center"/>
        </w:trPr>
        <w:tc>
          <w:tcPr>
            <w:tcW w:w="391" w:type="dxa"/>
            <w:vMerge w:val="continue"/>
            <w:vAlign w:val="center"/>
          </w:tcPr>
          <w:p>
            <w:pPr>
              <w:pStyle w:val="41"/>
              <w:ind w:firstLine="0" w:firstLineChars="0"/>
              <w:jc w:val="center"/>
              <w:rPr>
                <w:sz w:val="21"/>
                <w:szCs w:val="21"/>
              </w:rPr>
            </w:pPr>
          </w:p>
        </w:tc>
        <w:tc>
          <w:tcPr>
            <w:tcW w:w="713" w:type="dxa"/>
            <w:vAlign w:val="center"/>
          </w:tcPr>
          <w:p>
            <w:pPr>
              <w:pStyle w:val="41"/>
              <w:ind w:firstLine="0" w:firstLineChars="0"/>
              <w:jc w:val="center"/>
              <w:rPr>
                <w:sz w:val="21"/>
                <w:szCs w:val="21"/>
              </w:rPr>
            </w:pPr>
            <w:r>
              <w:rPr>
                <w:rFonts w:hint="eastAsia"/>
                <w:sz w:val="21"/>
                <w:szCs w:val="21"/>
              </w:rPr>
              <w:t>河道里程数</w:t>
            </w:r>
          </w:p>
          <w:p>
            <w:pPr>
              <w:pStyle w:val="41"/>
              <w:ind w:firstLine="0" w:firstLineChars="0"/>
              <w:jc w:val="center"/>
              <w:rPr>
                <w:sz w:val="21"/>
                <w:szCs w:val="21"/>
              </w:rPr>
            </w:pPr>
            <w:r>
              <w:rPr>
                <w:rFonts w:hint="eastAsia"/>
                <w:sz w:val="21"/>
                <w:szCs w:val="21"/>
              </w:rPr>
              <w:t>(km)</w:t>
            </w:r>
          </w:p>
        </w:tc>
        <w:tc>
          <w:tcPr>
            <w:tcW w:w="1006" w:type="dxa"/>
            <w:vAlign w:val="center"/>
          </w:tcPr>
          <w:p>
            <w:pPr>
              <w:pStyle w:val="41"/>
              <w:ind w:firstLine="0" w:firstLineChars="0"/>
              <w:jc w:val="center"/>
              <w:rPr>
                <w:sz w:val="21"/>
                <w:szCs w:val="21"/>
              </w:rPr>
            </w:pPr>
            <w:r>
              <w:rPr>
                <w:rFonts w:hint="eastAsia"/>
                <w:sz w:val="21"/>
                <w:szCs w:val="21"/>
              </w:rPr>
              <w:t>点位坐标</w:t>
            </w:r>
          </w:p>
        </w:tc>
        <w:tc>
          <w:tcPr>
            <w:tcW w:w="710" w:type="dxa"/>
            <w:vAlign w:val="center"/>
          </w:tcPr>
          <w:p>
            <w:pPr>
              <w:pStyle w:val="41"/>
              <w:ind w:firstLine="0" w:firstLineChars="0"/>
              <w:jc w:val="center"/>
              <w:rPr>
                <w:sz w:val="21"/>
                <w:szCs w:val="21"/>
              </w:rPr>
            </w:pPr>
            <w:r>
              <w:rPr>
                <w:rFonts w:hint="eastAsia"/>
                <w:sz w:val="21"/>
                <w:szCs w:val="21"/>
              </w:rPr>
              <w:t>河道里程数</w:t>
            </w:r>
          </w:p>
          <w:p>
            <w:pPr>
              <w:pStyle w:val="41"/>
              <w:ind w:firstLine="0" w:firstLineChars="0"/>
              <w:jc w:val="center"/>
              <w:rPr>
                <w:sz w:val="21"/>
                <w:szCs w:val="21"/>
              </w:rPr>
            </w:pPr>
            <w:r>
              <w:rPr>
                <w:rFonts w:hint="eastAsia"/>
                <w:sz w:val="21"/>
                <w:szCs w:val="21"/>
              </w:rPr>
              <w:t>(km)</w:t>
            </w:r>
          </w:p>
        </w:tc>
        <w:tc>
          <w:tcPr>
            <w:tcW w:w="1024" w:type="dxa"/>
            <w:vAlign w:val="center"/>
          </w:tcPr>
          <w:p>
            <w:pPr>
              <w:pStyle w:val="41"/>
              <w:ind w:firstLine="0" w:firstLineChars="0"/>
              <w:jc w:val="center"/>
              <w:rPr>
                <w:sz w:val="21"/>
                <w:szCs w:val="21"/>
              </w:rPr>
            </w:pPr>
            <w:r>
              <w:rPr>
                <w:rFonts w:hint="eastAsia"/>
                <w:sz w:val="21"/>
                <w:szCs w:val="21"/>
              </w:rPr>
              <w:t>点位坐标</w:t>
            </w:r>
          </w:p>
        </w:tc>
        <w:tc>
          <w:tcPr>
            <w:tcW w:w="390" w:type="dxa"/>
            <w:vAlign w:val="center"/>
          </w:tcPr>
          <w:p>
            <w:pPr>
              <w:pStyle w:val="41"/>
              <w:ind w:firstLine="0" w:firstLineChars="0"/>
              <w:jc w:val="center"/>
              <w:rPr>
                <w:sz w:val="21"/>
                <w:szCs w:val="21"/>
              </w:rPr>
            </w:pPr>
            <w:r>
              <w:rPr>
                <w:rFonts w:hint="eastAsia"/>
                <w:sz w:val="21"/>
                <w:szCs w:val="21"/>
              </w:rPr>
              <w:t>堤防等级</w:t>
            </w:r>
          </w:p>
        </w:tc>
        <w:tc>
          <w:tcPr>
            <w:tcW w:w="702" w:type="dxa"/>
            <w:vAlign w:val="center"/>
          </w:tcPr>
          <w:p>
            <w:pPr>
              <w:pStyle w:val="41"/>
              <w:ind w:firstLine="0" w:firstLineChars="0"/>
              <w:jc w:val="center"/>
              <w:rPr>
                <w:sz w:val="21"/>
                <w:szCs w:val="21"/>
              </w:rPr>
            </w:pPr>
            <w:r>
              <w:rPr>
                <w:rFonts w:hint="eastAsia"/>
                <w:sz w:val="21"/>
                <w:szCs w:val="21"/>
              </w:rPr>
              <w:t>长度</w:t>
            </w:r>
          </w:p>
          <w:p>
            <w:pPr>
              <w:pStyle w:val="41"/>
              <w:ind w:firstLine="0" w:firstLineChars="0"/>
              <w:jc w:val="center"/>
              <w:rPr>
                <w:sz w:val="21"/>
                <w:szCs w:val="21"/>
              </w:rPr>
            </w:pPr>
            <w:r>
              <w:rPr>
                <w:rFonts w:hint="eastAsia"/>
                <w:sz w:val="21"/>
                <w:szCs w:val="21"/>
              </w:rPr>
              <w:t>（km）</w:t>
            </w:r>
          </w:p>
        </w:tc>
        <w:tc>
          <w:tcPr>
            <w:tcW w:w="702" w:type="dxa"/>
            <w:vAlign w:val="center"/>
          </w:tcPr>
          <w:p>
            <w:pPr>
              <w:pStyle w:val="41"/>
              <w:ind w:firstLine="0" w:firstLineChars="0"/>
              <w:jc w:val="center"/>
              <w:rPr>
                <w:sz w:val="21"/>
                <w:szCs w:val="21"/>
              </w:rPr>
            </w:pPr>
            <w:r>
              <w:rPr>
                <w:rFonts w:hint="eastAsia"/>
                <w:sz w:val="21"/>
                <w:szCs w:val="21"/>
              </w:rPr>
              <w:t>堤顶高程</w:t>
            </w:r>
          </w:p>
          <w:p>
            <w:pPr>
              <w:pStyle w:val="41"/>
              <w:ind w:firstLine="0" w:firstLineChars="0"/>
              <w:jc w:val="center"/>
              <w:rPr>
                <w:sz w:val="21"/>
                <w:szCs w:val="21"/>
              </w:rPr>
            </w:pPr>
            <w:r>
              <w:rPr>
                <w:rFonts w:hint="eastAsia"/>
                <w:sz w:val="21"/>
                <w:szCs w:val="21"/>
              </w:rPr>
              <w:t>（m）</w:t>
            </w:r>
          </w:p>
        </w:tc>
        <w:tc>
          <w:tcPr>
            <w:tcW w:w="702" w:type="dxa"/>
            <w:vAlign w:val="center"/>
          </w:tcPr>
          <w:p>
            <w:pPr>
              <w:pStyle w:val="41"/>
              <w:ind w:firstLine="0" w:firstLineChars="0"/>
              <w:jc w:val="center"/>
              <w:rPr>
                <w:sz w:val="21"/>
                <w:szCs w:val="21"/>
              </w:rPr>
            </w:pPr>
            <w:r>
              <w:rPr>
                <w:rFonts w:hint="eastAsia"/>
                <w:sz w:val="21"/>
                <w:szCs w:val="21"/>
              </w:rPr>
              <w:t>堤顶宽度（m）</w:t>
            </w:r>
          </w:p>
        </w:tc>
        <w:tc>
          <w:tcPr>
            <w:tcW w:w="392" w:type="dxa"/>
            <w:vAlign w:val="center"/>
          </w:tcPr>
          <w:p>
            <w:pPr>
              <w:pStyle w:val="41"/>
              <w:ind w:firstLine="0" w:firstLineChars="0"/>
              <w:jc w:val="center"/>
              <w:rPr>
                <w:sz w:val="21"/>
                <w:szCs w:val="21"/>
              </w:rPr>
            </w:pPr>
            <w:r>
              <w:rPr>
                <w:rFonts w:hint="eastAsia"/>
                <w:sz w:val="21"/>
                <w:szCs w:val="21"/>
              </w:rPr>
              <w:t>是否达标</w:t>
            </w:r>
          </w:p>
        </w:tc>
        <w:tc>
          <w:tcPr>
            <w:tcW w:w="651" w:type="dxa"/>
            <w:vAlign w:val="center"/>
          </w:tcPr>
          <w:p>
            <w:pPr>
              <w:pStyle w:val="41"/>
              <w:ind w:firstLine="0" w:firstLineChars="0"/>
              <w:jc w:val="center"/>
              <w:rPr>
                <w:sz w:val="21"/>
                <w:szCs w:val="21"/>
              </w:rPr>
            </w:pPr>
            <w:r>
              <w:rPr>
                <w:rFonts w:hint="eastAsia"/>
                <w:sz w:val="21"/>
                <w:szCs w:val="21"/>
              </w:rPr>
              <w:t>长度（km）</w:t>
            </w:r>
          </w:p>
        </w:tc>
        <w:tc>
          <w:tcPr>
            <w:tcW w:w="708" w:type="dxa"/>
            <w:vAlign w:val="center"/>
          </w:tcPr>
          <w:p>
            <w:pPr>
              <w:pStyle w:val="41"/>
              <w:ind w:firstLine="0" w:firstLineChars="0"/>
              <w:jc w:val="center"/>
              <w:rPr>
                <w:sz w:val="21"/>
                <w:szCs w:val="21"/>
              </w:rPr>
            </w:pPr>
            <w:r>
              <w:rPr>
                <w:rFonts w:hint="eastAsia"/>
                <w:sz w:val="21"/>
                <w:szCs w:val="21"/>
              </w:rPr>
              <w:t>地面高程（m）</w:t>
            </w:r>
          </w:p>
        </w:tc>
        <w:tc>
          <w:tcPr>
            <w:tcW w:w="520" w:type="dxa"/>
            <w:vAlign w:val="center"/>
          </w:tcPr>
          <w:p>
            <w:pPr>
              <w:pStyle w:val="41"/>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391" w:type="dxa"/>
            <w:vAlign w:val="center"/>
          </w:tcPr>
          <w:p>
            <w:pPr>
              <w:pStyle w:val="41"/>
              <w:ind w:firstLine="0" w:firstLineChars="0"/>
              <w:rPr>
                <w:sz w:val="21"/>
                <w:szCs w:val="21"/>
              </w:rPr>
            </w:pPr>
            <w:r>
              <w:rPr>
                <w:rFonts w:hint="eastAsia"/>
                <w:sz w:val="21"/>
                <w:szCs w:val="21"/>
              </w:rPr>
              <w:t>左岸</w:t>
            </w:r>
          </w:p>
        </w:tc>
        <w:tc>
          <w:tcPr>
            <w:tcW w:w="713" w:type="dxa"/>
            <w:vAlign w:val="center"/>
          </w:tcPr>
          <w:p>
            <w:pPr>
              <w:pStyle w:val="41"/>
              <w:ind w:firstLine="0" w:firstLineChars="0"/>
              <w:jc w:val="center"/>
              <w:rPr>
                <w:sz w:val="18"/>
                <w:szCs w:val="18"/>
              </w:rPr>
            </w:pPr>
            <w:r>
              <w:rPr>
                <w:rFonts w:hint="eastAsia"/>
                <w:sz w:val="18"/>
                <w:szCs w:val="18"/>
              </w:rPr>
              <w:t>0.00</w:t>
            </w:r>
          </w:p>
        </w:tc>
        <w:tc>
          <w:tcPr>
            <w:tcW w:w="1006" w:type="dxa"/>
            <w:vAlign w:val="center"/>
          </w:tcPr>
          <w:p>
            <w:pPr>
              <w:pStyle w:val="41"/>
              <w:ind w:firstLine="0" w:firstLineChars="0"/>
              <w:jc w:val="center"/>
              <w:rPr>
                <w:sz w:val="18"/>
                <w:szCs w:val="18"/>
              </w:rPr>
            </w:pPr>
            <w:r>
              <w:rPr>
                <w:rFonts w:hint="eastAsia"/>
                <w:sz w:val="18"/>
                <w:szCs w:val="18"/>
              </w:rPr>
              <w:t>2820713.09，531334.64</w:t>
            </w:r>
          </w:p>
        </w:tc>
        <w:tc>
          <w:tcPr>
            <w:tcW w:w="710" w:type="dxa"/>
            <w:vAlign w:val="center"/>
          </w:tcPr>
          <w:p>
            <w:pPr>
              <w:pStyle w:val="41"/>
              <w:ind w:firstLine="0" w:firstLineChars="0"/>
              <w:jc w:val="center"/>
              <w:rPr>
                <w:sz w:val="18"/>
                <w:szCs w:val="18"/>
              </w:rPr>
            </w:pPr>
            <w:r>
              <w:rPr>
                <w:rFonts w:hint="eastAsia"/>
                <w:sz w:val="18"/>
                <w:szCs w:val="18"/>
              </w:rPr>
              <w:t>3.94</w:t>
            </w:r>
          </w:p>
        </w:tc>
        <w:tc>
          <w:tcPr>
            <w:tcW w:w="1024" w:type="dxa"/>
            <w:vAlign w:val="center"/>
          </w:tcPr>
          <w:p>
            <w:pPr>
              <w:pStyle w:val="41"/>
              <w:ind w:firstLine="0" w:firstLineChars="0"/>
              <w:jc w:val="center"/>
              <w:rPr>
                <w:sz w:val="18"/>
                <w:szCs w:val="18"/>
              </w:rPr>
            </w:pPr>
            <w:r>
              <w:rPr>
                <w:rFonts w:hint="eastAsia"/>
                <w:sz w:val="18"/>
                <w:szCs w:val="18"/>
              </w:rPr>
              <w:t>2823614.0</w:t>
            </w:r>
            <w:r>
              <w:rPr>
                <w:rFonts w:hint="eastAsia"/>
                <w:sz w:val="18"/>
                <w:szCs w:val="18"/>
                <w:lang w:val="en-US" w:eastAsia="zh-CN"/>
              </w:rPr>
              <w:t>7</w:t>
            </w:r>
            <w:r>
              <w:rPr>
                <w:rFonts w:hint="eastAsia"/>
                <w:sz w:val="18"/>
                <w:szCs w:val="18"/>
              </w:rPr>
              <w:t>，532409.30</w:t>
            </w:r>
          </w:p>
        </w:tc>
        <w:tc>
          <w:tcPr>
            <w:tcW w:w="390" w:type="dxa"/>
            <w:vAlign w:val="center"/>
          </w:tcPr>
          <w:p>
            <w:pPr>
              <w:pStyle w:val="41"/>
              <w:ind w:firstLine="0" w:firstLineChars="0"/>
              <w:jc w:val="center"/>
              <w:rPr>
                <w:sz w:val="18"/>
                <w:szCs w:val="18"/>
              </w:rPr>
            </w:pPr>
          </w:p>
        </w:tc>
        <w:tc>
          <w:tcPr>
            <w:tcW w:w="702" w:type="dxa"/>
            <w:vAlign w:val="center"/>
          </w:tcPr>
          <w:p>
            <w:pPr>
              <w:pStyle w:val="41"/>
              <w:ind w:firstLine="0" w:firstLineChars="0"/>
              <w:jc w:val="center"/>
              <w:rPr>
                <w:sz w:val="18"/>
                <w:szCs w:val="18"/>
              </w:rPr>
            </w:pPr>
          </w:p>
        </w:tc>
        <w:tc>
          <w:tcPr>
            <w:tcW w:w="702" w:type="dxa"/>
            <w:vAlign w:val="center"/>
          </w:tcPr>
          <w:p>
            <w:pPr>
              <w:pStyle w:val="41"/>
              <w:ind w:firstLine="0" w:firstLineChars="0"/>
              <w:jc w:val="center"/>
              <w:rPr>
                <w:sz w:val="18"/>
                <w:szCs w:val="18"/>
              </w:rPr>
            </w:pPr>
          </w:p>
        </w:tc>
        <w:tc>
          <w:tcPr>
            <w:tcW w:w="702" w:type="dxa"/>
            <w:vAlign w:val="center"/>
          </w:tcPr>
          <w:p>
            <w:pPr>
              <w:pStyle w:val="41"/>
              <w:ind w:firstLine="0" w:firstLineChars="0"/>
              <w:jc w:val="center"/>
              <w:rPr>
                <w:sz w:val="18"/>
                <w:szCs w:val="18"/>
              </w:rPr>
            </w:pPr>
          </w:p>
        </w:tc>
        <w:tc>
          <w:tcPr>
            <w:tcW w:w="392" w:type="dxa"/>
            <w:vAlign w:val="center"/>
          </w:tcPr>
          <w:p>
            <w:pPr>
              <w:pStyle w:val="41"/>
              <w:ind w:firstLine="0" w:firstLineChars="0"/>
              <w:jc w:val="center"/>
              <w:rPr>
                <w:sz w:val="18"/>
                <w:szCs w:val="18"/>
              </w:rPr>
            </w:pPr>
          </w:p>
        </w:tc>
        <w:tc>
          <w:tcPr>
            <w:tcW w:w="651" w:type="dxa"/>
            <w:vAlign w:val="center"/>
          </w:tcPr>
          <w:p>
            <w:pPr>
              <w:pStyle w:val="41"/>
              <w:ind w:firstLine="0" w:firstLineChars="0"/>
              <w:jc w:val="center"/>
              <w:rPr>
                <w:sz w:val="18"/>
                <w:szCs w:val="18"/>
              </w:rPr>
            </w:pPr>
            <w:r>
              <w:rPr>
                <w:rFonts w:hint="eastAsia"/>
                <w:sz w:val="18"/>
                <w:szCs w:val="18"/>
              </w:rPr>
              <w:t>3.94</w:t>
            </w:r>
          </w:p>
        </w:tc>
        <w:tc>
          <w:tcPr>
            <w:tcW w:w="708" w:type="dxa"/>
            <w:vAlign w:val="center"/>
          </w:tcPr>
          <w:p>
            <w:pPr>
              <w:pStyle w:val="41"/>
              <w:ind w:firstLine="0" w:firstLineChars="0"/>
              <w:jc w:val="center"/>
              <w:rPr>
                <w:rFonts w:hint="default" w:eastAsiaTheme="minorEastAsia"/>
                <w:sz w:val="18"/>
                <w:szCs w:val="18"/>
                <w:lang w:val="en-US" w:eastAsia="zh-CN"/>
              </w:rPr>
            </w:pPr>
            <w:r>
              <w:rPr>
                <w:rFonts w:hint="eastAsia"/>
                <w:sz w:val="18"/>
                <w:szCs w:val="18"/>
                <w:lang w:val="en-US" w:eastAsia="zh-CN"/>
              </w:rPr>
              <w:t>1642.1-1863.6</w:t>
            </w:r>
          </w:p>
        </w:tc>
        <w:tc>
          <w:tcPr>
            <w:tcW w:w="520" w:type="dxa"/>
            <w:vAlign w:val="center"/>
          </w:tcPr>
          <w:p>
            <w:pPr>
              <w:pStyle w:val="41"/>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391" w:type="dxa"/>
            <w:vAlign w:val="center"/>
          </w:tcPr>
          <w:p>
            <w:pPr>
              <w:pStyle w:val="41"/>
              <w:ind w:firstLine="0" w:firstLineChars="0"/>
              <w:rPr>
                <w:rFonts w:hint="default" w:eastAsiaTheme="minorEastAsia"/>
                <w:sz w:val="21"/>
                <w:szCs w:val="21"/>
                <w:lang w:val="en-US" w:eastAsia="zh-CN"/>
              </w:rPr>
            </w:pPr>
            <w:bookmarkStart w:id="17" w:name="_Toc15228265"/>
            <w:bookmarkStart w:id="18" w:name="_Toc9089"/>
            <w:bookmarkStart w:id="19" w:name="_Toc25765"/>
            <w:bookmarkStart w:id="20" w:name="_Toc13025"/>
            <w:r>
              <w:rPr>
                <w:rFonts w:hint="eastAsia"/>
                <w:sz w:val="21"/>
                <w:szCs w:val="21"/>
                <w:lang w:val="en-US" w:eastAsia="zh-CN"/>
              </w:rPr>
              <w:t>右岸</w:t>
            </w:r>
          </w:p>
        </w:tc>
        <w:tc>
          <w:tcPr>
            <w:tcW w:w="713" w:type="dxa"/>
            <w:vAlign w:val="center"/>
          </w:tcPr>
          <w:p>
            <w:pPr>
              <w:pStyle w:val="41"/>
              <w:ind w:firstLine="0" w:firstLineChars="0"/>
              <w:jc w:val="center"/>
              <w:rPr>
                <w:rFonts w:hint="default" w:eastAsiaTheme="minorEastAsia"/>
                <w:sz w:val="18"/>
                <w:szCs w:val="18"/>
                <w:lang w:val="en-US" w:eastAsia="zh-CN"/>
              </w:rPr>
            </w:pPr>
            <w:r>
              <w:rPr>
                <w:rFonts w:hint="eastAsia"/>
                <w:sz w:val="18"/>
                <w:szCs w:val="18"/>
                <w:lang w:val="en-US" w:eastAsia="zh-CN"/>
              </w:rPr>
              <w:t>0.00</w:t>
            </w:r>
          </w:p>
        </w:tc>
        <w:tc>
          <w:tcPr>
            <w:tcW w:w="1006" w:type="dxa"/>
            <w:vAlign w:val="center"/>
          </w:tcPr>
          <w:p>
            <w:pPr>
              <w:pStyle w:val="41"/>
              <w:ind w:firstLine="0" w:firstLineChars="0"/>
              <w:jc w:val="center"/>
              <w:rPr>
                <w:rFonts w:hint="default" w:eastAsiaTheme="minorEastAsia"/>
                <w:sz w:val="18"/>
                <w:szCs w:val="18"/>
                <w:lang w:val="en-US" w:eastAsia="zh-CN"/>
              </w:rPr>
            </w:pPr>
            <w:r>
              <w:rPr>
                <w:rFonts w:hint="eastAsia"/>
                <w:sz w:val="18"/>
                <w:szCs w:val="18"/>
                <w:lang w:val="en-US" w:eastAsia="zh-CN"/>
              </w:rPr>
              <w:t>2820725.48,531355.359</w:t>
            </w:r>
          </w:p>
        </w:tc>
        <w:tc>
          <w:tcPr>
            <w:tcW w:w="710" w:type="dxa"/>
            <w:vAlign w:val="center"/>
          </w:tcPr>
          <w:p>
            <w:pPr>
              <w:pStyle w:val="41"/>
              <w:ind w:firstLine="0" w:firstLineChars="0"/>
              <w:jc w:val="center"/>
              <w:rPr>
                <w:rFonts w:hint="default" w:eastAsiaTheme="minorEastAsia"/>
                <w:sz w:val="18"/>
                <w:szCs w:val="18"/>
                <w:lang w:val="en-US" w:eastAsia="zh-CN"/>
              </w:rPr>
            </w:pPr>
            <w:r>
              <w:rPr>
                <w:rFonts w:hint="eastAsia"/>
                <w:sz w:val="18"/>
                <w:szCs w:val="18"/>
              </w:rPr>
              <w:t>3.94</w:t>
            </w:r>
          </w:p>
        </w:tc>
        <w:tc>
          <w:tcPr>
            <w:tcW w:w="1024" w:type="dxa"/>
            <w:vAlign w:val="center"/>
          </w:tcPr>
          <w:p>
            <w:pPr>
              <w:pStyle w:val="41"/>
              <w:ind w:firstLine="0" w:firstLineChars="0"/>
              <w:jc w:val="center"/>
              <w:rPr>
                <w:rFonts w:hint="eastAsia"/>
                <w:sz w:val="18"/>
                <w:szCs w:val="18"/>
              </w:rPr>
            </w:pPr>
            <w:r>
              <w:rPr>
                <w:rFonts w:hint="eastAsia"/>
                <w:sz w:val="18"/>
                <w:szCs w:val="18"/>
              </w:rPr>
              <w:t>2823614.0</w:t>
            </w:r>
            <w:r>
              <w:rPr>
                <w:rFonts w:hint="eastAsia"/>
                <w:sz w:val="18"/>
                <w:szCs w:val="18"/>
                <w:lang w:val="en-US" w:eastAsia="zh-CN"/>
              </w:rPr>
              <w:t>7</w:t>
            </w:r>
            <w:r>
              <w:rPr>
                <w:rFonts w:hint="eastAsia"/>
                <w:sz w:val="18"/>
                <w:szCs w:val="18"/>
              </w:rPr>
              <w:t>，532409.30</w:t>
            </w:r>
          </w:p>
        </w:tc>
        <w:tc>
          <w:tcPr>
            <w:tcW w:w="390" w:type="dxa"/>
            <w:vAlign w:val="center"/>
          </w:tcPr>
          <w:p>
            <w:pPr>
              <w:pStyle w:val="41"/>
              <w:ind w:firstLine="0" w:firstLineChars="0"/>
              <w:jc w:val="center"/>
              <w:rPr>
                <w:sz w:val="18"/>
                <w:szCs w:val="18"/>
              </w:rPr>
            </w:pPr>
          </w:p>
        </w:tc>
        <w:tc>
          <w:tcPr>
            <w:tcW w:w="702" w:type="dxa"/>
            <w:vAlign w:val="center"/>
          </w:tcPr>
          <w:p>
            <w:pPr>
              <w:pStyle w:val="41"/>
              <w:ind w:firstLine="0" w:firstLineChars="0"/>
              <w:jc w:val="center"/>
              <w:rPr>
                <w:sz w:val="18"/>
                <w:szCs w:val="18"/>
              </w:rPr>
            </w:pPr>
          </w:p>
        </w:tc>
        <w:tc>
          <w:tcPr>
            <w:tcW w:w="702" w:type="dxa"/>
            <w:vAlign w:val="center"/>
          </w:tcPr>
          <w:p>
            <w:pPr>
              <w:pStyle w:val="41"/>
              <w:ind w:firstLine="0" w:firstLineChars="0"/>
              <w:jc w:val="center"/>
              <w:rPr>
                <w:sz w:val="18"/>
                <w:szCs w:val="18"/>
              </w:rPr>
            </w:pPr>
          </w:p>
        </w:tc>
        <w:tc>
          <w:tcPr>
            <w:tcW w:w="702" w:type="dxa"/>
            <w:vAlign w:val="center"/>
          </w:tcPr>
          <w:p>
            <w:pPr>
              <w:pStyle w:val="41"/>
              <w:ind w:firstLine="0" w:firstLineChars="0"/>
              <w:jc w:val="center"/>
              <w:rPr>
                <w:sz w:val="18"/>
                <w:szCs w:val="18"/>
              </w:rPr>
            </w:pPr>
          </w:p>
        </w:tc>
        <w:tc>
          <w:tcPr>
            <w:tcW w:w="392" w:type="dxa"/>
            <w:vAlign w:val="center"/>
          </w:tcPr>
          <w:p>
            <w:pPr>
              <w:pStyle w:val="41"/>
              <w:ind w:firstLine="0" w:firstLineChars="0"/>
              <w:jc w:val="center"/>
              <w:rPr>
                <w:sz w:val="18"/>
                <w:szCs w:val="18"/>
              </w:rPr>
            </w:pPr>
          </w:p>
        </w:tc>
        <w:tc>
          <w:tcPr>
            <w:tcW w:w="651" w:type="dxa"/>
            <w:vAlign w:val="center"/>
          </w:tcPr>
          <w:p>
            <w:pPr>
              <w:pStyle w:val="41"/>
              <w:ind w:firstLine="0" w:firstLineChars="0"/>
              <w:jc w:val="center"/>
              <w:rPr>
                <w:rFonts w:hint="eastAsia"/>
                <w:sz w:val="18"/>
                <w:szCs w:val="18"/>
              </w:rPr>
            </w:pPr>
            <w:r>
              <w:rPr>
                <w:rFonts w:hint="eastAsia"/>
                <w:sz w:val="18"/>
                <w:szCs w:val="18"/>
              </w:rPr>
              <w:t>3.94</w:t>
            </w:r>
          </w:p>
        </w:tc>
        <w:tc>
          <w:tcPr>
            <w:tcW w:w="708" w:type="dxa"/>
            <w:vAlign w:val="center"/>
          </w:tcPr>
          <w:p>
            <w:pPr>
              <w:pStyle w:val="41"/>
              <w:ind w:firstLine="0" w:firstLineChars="0"/>
              <w:jc w:val="center"/>
              <w:rPr>
                <w:sz w:val="18"/>
                <w:szCs w:val="18"/>
              </w:rPr>
            </w:pPr>
            <w:r>
              <w:rPr>
                <w:rFonts w:hint="eastAsia"/>
                <w:sz w:val="18"/>
                <w:szCs w:val="18"/>
                <w:lang w:val="en-US" w:eastAsia="zh-CN"/>
              </w:rPr>
              <w:t>1642.1-1863.6</w:t>
            </w:r>
          </w:p>
        </w:tc>
        <w:tc>
          <w:tcPr>
            <w:tcW w:w="520" w:type="dxa"/>
            <w:vAlign w:val="center"/>
          </w:tcPr>
          <w:p>
            <w:pPr>
              <w:pStyle w:val="41"/>
              <w:ind w:firstLine="0" w:firstLineChars="0"/>
              <w:jc w:val="center"/>
              <w:rPr>
                <w:sz w:val="21"/>
                <w:szCs w:val="21"/>
              </w:rPr>
            </w:pPr>
          </w:p>
        </w:tc>
      </w:tr>
      <w:bookmarkEnd w:id="14"/>
    </w:tbl>
    <w:p>
      <w:pPr>
        <w:pStyle w:val="4"/>
        <w:ind w:left="0" w:firstLine="0"/>
      </w:pPr>
      <w:r>
        <w:rPr>
          <w:rFonts w:hint="eastAsia"/>
        </w:rPr>
        <w:t>涉河建设项目情况</w:t>
      </w:r>
      <w:bookmarkEnd w:id="17"/>
      <w:bookmarkEnd w:id="18"/>
      <w:bookmarkEnd w:id="19"/>
      <w:bookmarkEnd w:id="20"/>
    </w:p>
    <w:p>
      <w:pPr>
        <w:pStyle w:val="41"/>
        <w:ind w:firstLine="560"/>
        <w:rPr>
          <w:b/>
        </w:rPr>
      </w:pPr>
      <w:r>
        <w:rPr>
          <w:rFonts w:hint="eastAsia"/>
        </w:rPr>
        <w:t>秀江道县河段无拦水坝、人行桥、公路桥、铁路桥等涉河工程。</w:t>
      </w:r>
    </w:p>
    <w:p>
      <w:pPr>
        <w:pStyle w:val="4"/>
        <w:ind w:left="0" w:firstLine="0"/>
      </w:pPr>
      <w:bookmarkStart w:id="21" w:name="_Toc10430"/>
      <w:bookmarkStart w:id="22" w:name="_Toc15228266"/>
      <w:bookmarkStart w:id="23" w:name="_Toc25946"/>
      <w:bookmarkStart w:id="24" w:name="_Toc12627"/>
      <w:r>
        <w:rPr>
          <w:rFonts w:hint="eastAsia"/>
        </w:rPr>
        <w:t>土地权属情况</w:t>
      </w:r>
      <w:bookmarkEnd w:id="21"/>
      <w:bookmarkEnd w:id="22"/>
      <w:bookmarkEnd w:id="23"/>
      <w:bookmarkEnd w:id="24"/>
    </w:p>
    <w:p>
      <w:pPr>
        <w:pStyle w:val="41"/>
        <w:ind w:firstLine="560"/>
      </w:pPr>
      <w:r>
        <w:rPr>
          <w:rFonts w:hint="eastAsia"/>
        </w:rPr>
        <w:t>2012年--</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数据库中潇水道县河段国有土地所有权范围线与外业调查的河口线，经调查，潇水道县河段国有土地所有权范围线与河口线基本吻合，不存在较大偏差</w:t>
      </w:r>
      <w:r>
        <w:t>。</w:t>
      </w:r>
    </w:p>
    <w:p>
      <w:pPr>
        <w:pStyle w:val="4"/>
        <w:ind w:left="0" w:firstLine="0"/>
      </w:pPr>
      <w:bookmarkStart w:id="25" w:name="_Toc18581"/>
      <w:bookmarkStart w:id="26" w:name="_Toc15228267"/>
      <w:bookmarkStart w:id="27" w:name="_Toc30711"/>
      <w:r>
        <w:rPr>
          <w:rFonts w:hint="eastAsia"/>
        </w:rPr>
        <w:t>历史划界情况</w:t>
      </w:r>
      <w:bookmarkEnd w:id="25"/>
      <w:bookmarkEnd w:id="26"/>
      <w:bookmarkEnd w:id="27"/>
    </w:p>
    <w:p>
      <w:pPr>
        <w:pStyle w:val="41"/>
        <w:ind w:firstLine="560"/>
        <w:rPr>
          <w:color w:val="000000" w:themeColor="text1"/>
        </w:rPr>
      </w:pPr>
      <w:r>
        <w:rPr>
          <w:rFonts w:hint="eastAsia"/>
          <w:color w:val="000000" w:themeColor="text1"/>
        </w:rPr>
        <w:t>秀江道县河段未进行河道划界工作，没有资料可以为本次河道管理范围划定做参考。</w:t>
      </w:r>
    </w:p>
    <w:p>
      <w:pPr>
        <w:pStyle w:val="3"/>
        <w:ind w:left="0" w:firstLine="0"/>
      </w:pPr>
      <w:bookmarkStart w:id="28" w:name="_Toc385"/>
      <w:bookmarkStart w:id="29" w:name="_Toc15228268"/>
      <w:bookmarkStart w:id="30" w:name="_Toc18399"/>
      <w:bookmarkStart w:id="31" w:name="_Toc17617"/>
      <w:r>
        <w:rPr>
          <w:rFonts w:hint="eastAsia"/>
        </w:rPr>
        <w:t>工作原则及依据</w:t>
      </w:r>
      <w:bookmarkEnd w:id="28"/>
      <w:bookmarkEnd w:id="29"/>
      <w:bookmarkEnd w:id="30"/>
      <w:bookmarkEnd w:id="31"/>
    </w:p>
    <w:p>
      <w:pPr>
        <w:pStyle w:val="4"/>
        <w:ind w:left="0" w:firstLine="0"/>
      </w:pPr>
      <w:bookmarkStart w:id="32" w:name="_Toc2021"/>
      <w:bookmarkStart w:id="33" w:name="_Toc1811"/>
      <w:bookmarkStart w:id="34" w:name="_Toc1023"/>
      <w:bookmarkStart w:id="35" w:name="_Toc15228269"/>
      <w:r>
        <w:rPr>
          <w:rFonts w:hint="eastAsia"/>
        </w:rPr>
        <w:t>工作原则</w:t>
      </w:r>
      <w:bookmarkEnd w:id="32"/>
      <w:bookmarkEnd w:id="33"/>
      <w:bookmarkEnd w:id="34"/>
      <w:bookmarkEnd w:id="35"/>
    </w:p>
    <w:p>
      <w:pPr>
        <w:pStyle w:val="4"/>
        <w:numPr>
          <w:ilvl w:val="0"/>
          <w:numId w:val="0"/>
        </w:numPr>
      </w:pPr>
      <w:bookmarkStart w:id="36" w:name="_Toc30257"/>
      <w:bookmarkStart w:id="37" w:name="_Toc7369"/>
      <w:bookmarkStart w:id="38" w:name="_Toc15228270"/>
      <w:bookmarkStart w:id="39" w:name="_Toc14679049"/>
      <w:bookmarkStart w:id="40" w:name="_Toc17941"/>
      <w:r>
        <w:rPr>
          <w:rFonts w:hint="eastAsia"/>
        </w:rPr>
        <w:t>3.1.1依法依规，科学合理</w:t>
      </w:r>
      <w:bookmarkEnd w:id="36"/>
      <w:bookmarkEnd w:id="37"/>
      <w:bookmarkEnd w:id="38"/>
      <w:bookmarkEnd w:id="39"/>
      <w:bookmarkEnd w:id="40"/>
    </w:p>
    <w:p>
      <w:pPr>
        <w:pStyle w:val="41"/>
        <w:ind w:firstLine="565" w:firstLineChars="202"/>
      </w:pPr>
      <w:r>
        <w:rPr>
          <w:rFonts w:hint="eastAsia"/>
        </w:rPr>
        <w:t>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
        <w:numPr>
          <w:ilvl w:val="0"/>
          <w:numId w:val="0"/>
        </w:numPr>
      </w:pPr>
      <w:bookmarkStart w:id="41" w:name="_Toc31638"/>
      <w:bookmarkStart w:id="42" w:name="_Toc10084"/>
      <w:bookmarkStart w:id="43" w:name="_Toc14679050"/>
      <w:bookmarkStart w:id="44" w:name="_Toc28450"/>
      <w:bookmarkStart w:id="45" w:name="_Toc15228271"/>
      <w:r>
        <w:rPr>
          <w:rFonts w:hint="eastAsia"/>
        </w:rPr>
        <w:t>3.1.2因地制宜、统筹兼顾</w:t>
      </w:r>
      <w:bookmarkEnd w:id="41"/>
      <w:bookmarkEnd w:id="42"/>
      <w:bookmarkEnd w:id="43"/>
      <w:bookmarkEnd w:id="44"/>
      <w:bookmarkEnd w:id="45"/>
    </w:p>
    <w:p>
      <w:pPr>
        <w:pStyle w:val="41"/>
        <w:ind w:firstLine="560"/>
      </w:pPr>
      <w:r>
        <w:rPr>
          <w:rFonts w:hint="eastAsia"/>
        </w:rPr>
        <w:t>按照节约利用土地、符合水利工程管理与保护实际的要求，尊重历史、考虑现实，因地制宜确定划界原则和标准。</w:t>
      </w:r>
    </w:p>
    <w:p>
      <w:pPr>
        <w:pStyle w:val="4"/>
        <w:numPr>
          <w:ilvl w:val="0"/>
          <w:numId w:val="0"/>
        </w:numPr>
      </w:pPr>
      <w:bookmarkStart w:id="46" w:name="_Toc28152"/>
      <w:bookmarkStart w:id="47" w:name="_Toc15228272"/>
      <w:bookmarkStart w:id="48" w:name="_Toc14679051"/>
      <w:bookmarkStart w:id="49" w:name="_Toc30585"/>
      <w:bookmarkStart w:id="50" w:name="_Toc1491"/>
      <w:r>
        <w:rPr>
          <w:rFonts w:hint="eastAsia"/>
        </w:rPr>
        <w:t>3.1.3组织协调、共同参与</w:t>
      </w:r>
      <w:bookmarkEnd w:id="46"/>
      <w:bookmarkEnd w:id="47"/>
      <w:bookmarkEnd w:id="48"/>
      <w:bookmarkEnd w:id="49"/>
      <w:bookmarkEnd w:id="50"/>
    </w:p>
    <w:p>
      <w:pPr>
        <w:pStyle w:val="41"/>
        <w:ind w:firstLine="560"/>
      </w:pPr>
      <w:r>
        <w:rPr>
          <w:rFonts w:hint="eastAsia"/>
        </w:rPr>
        <w:t>河道划界涉及多个行政管理部门，应在划界过程中加强各部门的沟通和协调，推进划界工作的有效、顺利和高效进行，同时，划界方案应当征求当地政府和相关部门的意见。</w:t>
      </w:r>
    </w:p>
    <w:p>
      <w:pPr>
        <w:pStyle w:val="4"/>
        <w:ind w:left="0" w:firstLine="0"/>
      </w:pPr>
      <w:bookmarkStart w:id="51" w:name="_Toc15228273"/>
      <w:bookmarkStart w:id="52" w:name="_Toc27570"/>
      <w:bookmarkStart w:id="53" w:name="_Toc5209"/>
      <w:bookmarkStart w:id="54" w:name="_Toc8160"/>
      <w:r>
        <w:rPr>
          <w:rFonts w:hint="eastAsia"/>
        </w:rPr>
        <w:t>工作依据</w:t>
      </w:r>
      <w:bookmarkEnd w:id="51"/>
      <w:bookmarkEnd w:id="52"/>
      <w:bookmarkEnd w:id="53"/>
      <w:bookmarkEnd w:id="54"/>
    </w:p>
    <w:p>
      <w:pPr>
        <w:pStyle w:val="5"/>
        <w:numPr>
          <w:ilvl w:val="0"/>
          <w:numId w:val="0"/>
        </w:numPr>
        <w:spacing w:before="120" w:after="120" w:line="360" w:lineRule="auto"/>
        <w:rPr>
          <w:rFonts w:ascii="宋体" w:hAnsi="宋体" w:eastAsia="宋体"/>
          <w:sz w:val="28"/>
          <w:szCs w:val="28"/>
        </w:rPr>
      </w:pPr>
      <w:bookmarkStart w:id="55" w:name="_Toc2883"/>
      <w:bookmarkStart w:id="56" w:name="_Toc24920"/>
      <w:bookmarkStart w:id="57" w:name="_Toc14679054"/>
      <w:bookmarkStart w:id="58" w:name="_Toc463087577"/>
      <w:bookmarkStart w:id="59" w:name="_Toc11725"/>
      <w:bookmarkStart w:id="60" w:name="_Toc450288706"/>
      <w:bookmarkStart w:id="61" w:name="_Toc15228274"/>
      <w:r>
        <w:rPr>
          <w:rFonts w:hint="eastAsia" w:hAnsi="宋体" w:eastAsia="宋体"/>
          <w:sz w:val="28"/>
          <w:szCs w:val="28"/>
        </w:rPr>
        <w:t>3.2.1</w:t>
      </w:r>
      <w:r>
        <w:rPr>
          <w:rFonts w:hint="eastAsia" w:ascii="宋体" w:hAnsi="宋体" w:eastAsia="宋体"/>
          <w:sz w:val="28"/>
          <w:szCs w:val="28"/>
        </w:rPr>
        <w:t>法律法规</w:t>
      </w:r>
      <w:bookmarkEnd w:id="55"/>
      <w:bookmarkEnd w:id="56"/>
      <w:bookmarkEnd w:id="57"/>
      <w:bookmarkEnd w:id="58"/>
      <w:bookmarkEnd w:id="59"/>
      <w:bookmarkEnd w:id="60"/>
      <w:bookmarkEnd w:id="61"/>
    </w:p>
    <w:p>
      <w:pPr>
        <w:pStyle w:val="41"/>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p>
    <w:p>
      <w:pPr>
        <w:pStyle w:val="41"/>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1"/>
        <w:ind w:firstLine="560"/>
      </w:pPr>
      <w:r>
        <w:rPr>
          <w:rFonts w:hint="eastAsia"/>
        </w:rPr>
        <w:t>（</w:t>
      </w:r>
      <w:r>
        <w:t>3</w:t>
      </w:r>
      <w:r>
        <w:rPr>
          <w:rFonts w:hint="eastAsia"/>
        </w:rPr>
        <w:t>）《中华人民共和国土地管理法》（2004年）</w:t>
      </w:r>
    </w:p>
    <w:p>
      <w:pPr>
        <w:pStyle w:val="41"/>
        <w:ind w:firstLine="560"/>
      </w:pPr>
      <w:r>
        <w:rPr>
          <w:rFonts w:hint="eastAsia"/>
        </w:rPr>
        <w:t>（4）《中华人民共和国土地管理法实施条例》（2014年）</w:t>
      </w:r>
    </w:p>
    <w:p>
      <w:pPr>
        <w:pStyle w:val="41"/>
        <w:ind w:firstLine="560"/>
      </w:pPr>
      <w:r>
        <w:rPr>
          <w:rFonts w:hint="eastAsia"/>
        </w:rPr>
        <w:t>（5）《中华人民共和国河道管理条例》（国务院令第</w:t>
      </w:r>
      <w:r>
        <w:t>3</w:t>
      </w:r>
      <w:r>
        <w:rPr>
          <w:rFonts w:hint="eastAsia"/>
        </w:rPr>
        <w:t>号，</w:t>
      </w:r>
      <w:r>
        <w:t xml:space="preserve">2017 </w:t>
      </w:r>
      <w:r>
        <w:rPr>
          <w:rFonts w:hint="eastAsia"/>
        </w:rPr>
        <w:t>年修订）</w:t>
      </w:r>
    </w:p>
    <w:p>
      <w:pPr>
        <w:pStyle w:val="41"/>
        <w:ind w:firstLine="560"/>
      </w:pPr>
      <w:r>
        <w:rPr>
          <w:rFonts w:hint="eastAsia"/>
        </w:rPr>
        <w:t>（6）《不动产登记暂行条例》（国务院令第</w:t>
      </w:r>
      <w:r>
        <w:t>656</w:t>
      </w:r>
      <w:r>
        <w:rPr>
          <w:rFonts w:hint="eastAsia"/>
        </w:rPr>
        <w:t>号）</w:t>
      </w:r>
    </w:p>
    <w:p>
      <w:pPr>
        <w:pStyle w:val="41"/>
        <w:ind w:firstLine="560"/>
      </w:pPr>
      <w:r>
        <w:rPr>
          <w:rFonts w:hint="eastAsia"/>
        </w:rPr>
        <w:t>（7）《不动产登记暂行条例实施细则》（国士资源部令第</w:t>
      </w:r>
      <w:r>
        <w:t>63</w:t>
      </w:r>
      <w:r>
        <w:rPr>
          <w:rFonts w:hint="eastAsia"/>
        </w:rPr>
        <w:t>号）</w:t>
      </w:r>
    </w:p>
    <w:p>
      <w:pPr>
        <w:pStyle w:val="41"/>
        <w:ind w:firstLine="560"/>
      </w:pPr>
      <w:r>
        <w:rPr>
          <w:rFonts w:hint="eastAsia"/>
        </w:rPr>
        <w:t>（8）《湖南省实施〈中华人民共和国水法〉办法》（湖南省第十届人民代表大会常务委员会公告第</w:t>
      </w:r>
      <w:r>
        <w:t>21</w:t>
      </w:r>
      <w:r>
        <w:rPr>
          <w:rFonts w:hint="eastAsia"/>
        </w:rPr>
        <w:t>号）</w:t>
      </w:r>
    </w:p>
    <w:p>
      <w:pPr>
        <w:pStyle w:val="41"/>
        <w:ind w:firstLine="560"/>
      </w:pPr>
      <w:r>
        <w:rPr>
          <w:rFonts w:hint="eastAsia"/>
        </w:rPr>
        <w:t>（9）《湖南省实施〈中华人民共和国防洪法〉办法》（湖南省第九届人民代表大会常务委员会公告第</w:t>
      </w:r>
      <w:r>
        <w:t>58</w:t>
      </w:r>
      <w:r>
        <w:rPr>
          <w:rFonts w:hint="eastAsia"/>
        </w:rPr>
        <w:t>号）</w:t>
      </w:r>
    </w:p>
    <w:p>
      <w:pPr>
        <w:pStyle w:val="41"/>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1"/>
        <w:ind w:firstLine="560"/>
      </w:pPr>
      <w:r>
        <w:rPr>
          <w:rFonts w:hint="eastAsia"/>
        </w:rPr>
        <w:t>（11）《湖南省实施〈中华人民共和国河道管理条例〉办法》（湖南省人民政府令第</w:t>
      </w:r>
      <w:r>
        <w:t>43</w:t>
      </w:r>
      <w:r>
        <w:rPr>
          <w:rFonts w:hint="eastAsia"/>
        </w:rPr>
        <w:t>号，</w:t>
      </w:r>
      <w:r>
        <w:t>2008</w:t>
      </w:r>
      <w:r>
        <w:rPr>
          <w:rFonts w:hint="eastAsia"/>
        </w:rPr>
        <w:t>年修正）</w:t>
      </w:r>
    </w:p>
    <w:p>
      <w:pPr>
        <w:pStyle w:val="41"/>
        <w:ind w:firstLine="560"/>
      </w:pPr>
      <w:r>
        <w:rPr>
          <w:rFonts w:hint="eastAsia"/>
        </w:rPr>
        <w:t>（12）《湖南省湘江保护条例》（湖南省第十一届人民代表大会常务委员会公告第</w:t>
      </w:r>
      <w:r>
        <w:t>75</w:t>
      </w:r>
      <w:r>
        <w:rPr>
          <w:rFonts w:hint="eastAsia"/>
        </w:rPr>
        <w:t>号）</w:t>
      </w:r>
    </w:p>
    <w:p>
      <w:pPr>
        <w:pStyle w:val="41"/>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62" w:name="_Toc67"/>
      <w:bookmarkStart w:id="63" w:name="_Toc2794"/>
      <w:bookmarkStart w:id="64" w:name="_Toc14679055"/>
      <w:bookmarkStart w:id="65" w:name="_Toc15228275"/>
      <w:bookmarkStart w:id="66" w:name="_Toc3076"/>
      <w:r>
        <w:rPr>
          <w:rFonts w:hint="eastAsia" w:hAnsi="宋体" w:eastAsia="宋体"/>
          <w:sz w:val="28"/>
          <w:szCs w:val="28"/>
        </w:rPr>
        <w:t>3.2.2</w:t>
      </w:r>
      <w:r>
        <w:rPr>
          <w:rFonts w:hint="eastAsia" w:ascii="宋体" w:hAnsi="宋体" w:eastAsia="宋体"/>
          <w:sz w:val="28"/>
          <w:szCs w:val="28"/>
        </w:rPr>
        <w:t>政策性文件</w:t>
      </w:r>
      <w:bookmarkEnd w:id="62"/>
      <w:bookmarkEnd w:id="63"/>
      <w:bookmarkEnd w:id="64"/>
      <w:bookmarkEnd w:id="65"/>
      <w:bookmarkEnd w:id="66"/>
    </w:p>
    <w:p>
      <w:pPr>
        <w:pStyle w:val="41"/>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1"/>
        <w:ind w:firstLine="560"/>
      </w:pPr>
      <w:r>
        <w:rPr>
          <w:rFonts w:hint="eastAsia"/>
        </w:rPr>
        <w:t>（2）《关于水利水电工程建设用地有关问题的通知》〔国土资发〔</w:t>
      </w:r>
      <w:r>
        <w:t>2001</w:t>
      </w:r>
      <w:r>
        <w:rPr>
          <w:rFonts w:hint="eastAsia"/>
        </w:rPr>
        <w:t>〕</w:t>
      </w:r>
      <w:r>
        <w:t xml:space="preserve">355 </w:t>
      </w:r>
      <w:r>
        <w:rPr>
          <w:rFonts w:hint="eastAsia"/>
        </w:rPr>
        <w:t>号）</w:t>
      </w:r>
    </w:p>
    <w:p>
      <w:pPr>
        <w:pStyle w:val="41"/>
        <w:ind w:firstLine="560"/>
      </w:pPr>
      <w:r>
        <w:rPr>
          <w:rFonts w:hint="eastAsia"/>
        </w:rPr>
        <w:t>（3）《水利部关于深化水利改革的指导意见》（水规计〔</w:t>
      </w:r>
      <w:r>
        <w:t>2014</w:t>
      </w:r>
      <w:r>
        <w:rPr>
          <w:rFonts w:hint="eastAsia"/>
        </w:rPr>
        <w:t>〕</w:t>
      </w:r>
      <w:r>
        <w:t>48</w:t>
      </w:r>
      <w:r>
        <w:rPr>
          <w:rFonts w:hint="eastAsia"/>
        </w:rPr>
        <w:t>号）</w:t>
      </w:r>
    </w:p>
    <w:p>
      <w:pPr>
        <w:pStyle w:val="41"/>
        <w:ind w:firstLine="560"/>
      </w:pPr>
      <w:r>
        <w:rPr>
          <w:rFonts w:hint="eastAsia"/>
        </w:rPr>
        <w:t>（4）《关于加强河道管理工作的指导意见》（水建管〔</w:t>
      </w:r>
      <w:r>
        <w:t>2014</w:t>
      </w:r>
      <w:r>
        <w:rPr>
          <w:rFonts w:hint="eastAsia"/>
        </w:rPr>
        <w:t>〕</w:t>
      </w:r>
      <w:r>
        <w:t>76</w:t>
      </w:r>
      <w:r>
        <w:rPr>
          <w:rFonts w:hint="eastAsia"/>
        </w:rPr>
        <w:t>号）</w:t>
      </w:r>
    </w:p>
    <w:p>
      <w:pPr>
        <w:pStyle w:val="41"/>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1"/>
        <w:ind w:firstLine="560"/>
      </w:pPr>
      <w:r>
        <w:rPr>
          <w:rFonts w:hint="eastAsia"/>
        </w:rPr>
        <w:t>（6）《湖南省自然资源生态空间统一确权登记工作实施方案（</w:t>
      </w:r>
      <w:r>
        <w:t xml:space="preserve">2015-2020 </w:t>
      </w:r>
      <w:r>
        <w:rPr>
          <w:rFonts w:hint="eastAsia"/>
        </w:rPr>
        <w:t>年）》（湘办发〔</w:t>
      </w:r>
      <w:r>
        <w:t>2016</w:t>
      </w:r>
      <w:r>
        <w:rPr>
          <w:rFonts w:hint="eastAsia"/>
        </w:rPr>
        <w:t>〕</w:t>
      </w:r>
      <w:r>
        <w:t>2</w:t>
      </w:r>
      <w:r>
        <w:rPr>
          <w:rFonts w:hint="eastAsia"/>
        </w:rPr>
        <w:t>号）</w:t>
      </w:r>
    </w:p>
    <w:p>
      <w:pPr>
        <w:pStyle w:val="41"/>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1"/>
        <w:ind w:firstLine="560"/>
      </w:pPr>
      <w:r>
        <w:rPr>
          <w:rFonts w:hint="eastAsia"/>
        </w:rPr>
        <w:t>（8）《自然资源统一确权登记办法》（试行切</w:t>
      </w:r>
      <w:r>
        <w:t>(</w:t>
      </w:r>
      <w:r>
        <w:rPr>
          <w:rFonts w:hint="eastAsia"/>
        </w:rPr>
        <w:t>国土资发〔</w:t>
      </w:r>
      <w:r>
        <w:t>2016</w:t>
      </w:r>
      <w:r>
        <w:rPr>
          <w:rFonts w:hint="eastAsia"/>
        </w:rPr>
        <w:t>〕</w:t>
      </w:r>
      <w:r>
        <w:t xml:space="preserve"> 192</w:t>
      </w:r>
      <w:r>
        <w:rPr>
          <w:rFonts w:hint="eastAsia"/>
        </w:rPr>
        <w:t>号）</w:t>
      </w:r>
    </w:p>
    <w:p>
      <w:pPr>
        <w:pStyle w:val="41"/>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67" w:name="_Toc15228276"/>
      <w:bookmarkStart w:id="68" w:name="_Toc18971"/>
      <w:bookmarkStart w:id="69" w:name="_Toc11861"/>
      <w:bookmarkStart w:id="70" w:name="_Toc14679056"/>
      <w:bookmarkStart w:id="71" w:name="_Toc759"/>
      <w:r>
        <w:rPr>
          <w:rFonts w:hint="eastAsia" w:hAnsi="宋体" w:eastAsia="宋体"/>
          <w:sz w:val="28"/>
          <w:szCs w:val="28"/>
        </w:rPr>
        <w:t>3.2.3</w:t>
      </w:r>
      <w:r>
        <w:rPr>
          <w:rFonts w:hint="eastAsia" w:ascii="宋体" w:hAnsi="宋体" w:eastAsia="宋体"/>
          <w:sz w:val="28"/>
          <w:szCs w:val="28"/>
        </w:rPr>
        <w:t>技术标准规范</w:t>
      </w:r>
      <w:bookmarkEnd w:id="67"/>
      <w:bookmarkEnd w:id="68"/>
      <w:bookmarkEnd w:id="69"/>
      <w:bookmarkEnd w:id="70"/>
      <w:bookmarkEnd w:id="71"/>
    </w:p>
    <w:p>
      <w:pPr>
        <w:pStyle w:val="41"/>
        <w:ind w:firstLine="560"/>
      </w:pPr>
      <w:bookmarkStart w:id="72" w:name="_Toc15228277"/>
      <w:bookmarkStart w:id="73" w:name="_Toc20512"/>
      <w:r>
        <w:rPr>
          <w:rFonts w:hint="eastAsia"/>
        </w:rPr>
        <w:t>（</w:t>
      </w:r>
      <w:r>
        <w:t>1</w:t>
      </w:r>
      <w:r>
        <w:rPr>
          <w:rFonts w:hint="eastAsia"/>
        </w:rPr>
        <w:t>）《防洪标准》（GB50201-2014）</w:t>
      </w:r>
    </w:p>
    <w:p>
      <w:pPr>
        <w:pStyle w:val="41"/>
        <w:ind w:firstLine="560"/>
      </w:pPr>
      <w:r>
        <w:rPr>
          <w:rFonts w:hint="eastAsia"/>
        </w:rPr>
        <w:t>（2）《水利水电工程设计洪水》（SL44-2006）</w:t>
      </w:r>
    </w:p>
    <w:p>
      <w:pPr>
        <w:pStyle w:val="41"/>
        <w:ind w:firstLine="560"/>
      </w:pPr>
      <w:r>
        <w:rPr>
          <w:rFonts w:hint="eastAsia"/>
        </w:rPr>
        <w:t>（3）《堤防工程设计规范》（GB50286-2013）</w:t>
      </w:r>
    </w:p>
    <w:p>
      <w:pPr>
        <w:pStyle w:val="41"/>
        <w:ind w:firstLine="560"/>
      </w:pPr>
      <w:r>
        <w:rPr>
          <w:rFonts w:hint="eastAsia"/>
        </w:rPr>
        <w:t>（4）《水利水电工程等级划分及洪水标准》（SL252-2000）</w:t>
      </w:r>
    </w:p>
    <w:p>
      <w:pPr>
        <w:pStyle w:val="41"/>
        <w:ind w:firstLine="560"/>
      </w:pPr>
      <w:r>
        <w:rPr>
          <w:rFonts w:hint="eastAsia"/>
        </w:rPr>
        <w:t>（5）《堤防工程管理设计规范》（SL171-96）</w:t>
      </w:r>
    </w:p>
    <w:p>
      <w:pPr>
        <w:pStyle w:val="41"/>
        <w:ind w:firstLine="560"/>
      </w:pPr>
      <w:r>
        <w:rPr>
          <w:rFonts w:hint="eastAsia"/>
        </w:rPr>
        <w:t>（6）《河道整治设计规范》（GB50707-2011）</w:t>
      </w:r>
    </w:p>
    <w:p>
      <w:pPr>
        <w:pStyle w:val="41"/>
        <w:ind w:firstLine="560"/>
      </w:pPr>
      <w:r>
        <w:rPr>
          <w:rFonts w:hint="eastAsia"/>
        </w:rPr>
        <w:t>（7）《全球定位系统城市测量技术规程》（CJJ73-2010）</w:t>
      </w:r>
    </w:p>
    <w:p>
      <w:pPr>
        <w:pStyle w:val="41"/>
        <w:ind w:firstLine="560"/>
      </w:pPr>
      <w:r>
        <w:rPr>
          <w:rFonts w:hint="eastAsia"/>
        </w:rPr>
        <w:t>（8）《国家三、四等水准测量规范》（GB12898-2009）</w:t>
      </w:r>
    </w:p>
    <w:p>
      <w:pPr>
        <w:pStyle w:val="41"/>
        <w:ind w:firstLine="560"/>
      </w:pPr>
      <w:r>
        <w:rPr>
          <w:rFonts w:hint="eastAsia"/>
        </w:rPr>
        <w:t>（9）《测绘产品检查验收规定》（GB/T24356-2009）</w:t>
      </w:r>
    </w:p>
    <w:p>
      <w:pPr>
        <w:pStyle w:val="41"/>
        <w:ind w:firstLine="560"/>
      </w:pPr>
      <w:r>
        <w:rPr>
          <w:rFonts w:hint="eastAsia"/>
        </w:rPr>
        <w:t>（</w:t>
      </w:r>
      <w:r>
        <w:t>1</w:t>
      </w:r>
      <w:r>
        <w:rPr>
          <w:rFonts w:hint="eastAsia"/>
        </w:rPr>
        <w:t>0）《地籍调查规程》（TD/T 1001-2012）</w:t>
      </w:r>
    </w:p>
    <w:p>
      <w:pPr>
        <w:pStyle w:val="41"/>
        <w:ind w:firstLine="560"/>
      </w:pPr>
      <w:r>
        <w:rPr>
          <w:rFonts w:hint="eastAsia"/>
        </w:rPr>
        <w:t>（</w:t>
      </w:r>
      <w:r>
        <w:t>1</w:t>
      </w:r>
      <w:r>
        <w:rPr>
          <w:rFonts w:hint="eastAsia"/>
        </w:rPr>
        <w:t>1）《土地利用现状分类》（GB/T21010-2007）</w:t>
      </w:r>
    </w:p>
    <w:p>
      <w:pPr>
        <w:pStyle w:val="41"/>
        <w:ind w:firstLine="560"/>
      </w:pPr>
      <w:r>
        <w:rPr>
          <w:rFonts w:hint="eastAsia"/>
        </w:rPr>
        <w:t>（</w:t>
      </w:r>
      <w:r>
        <w:t>1</w:t>
      </w:r>
      <w:r>
        <w:rPr>
          <w:rFonts w:hint="eastAsia"/>
        </w:rPr>
        <w:t>2）《数字航空摄影测量 测图规范 第 1 部分：1:500 1:1000 1:2000 数字高程模型数字正射影像图数字线划图》（CH/T3007.1-2011）</w:t>
      </w:r>
    </w:p>
    <w:p>
      <w:pPr>
        <w:pStyle w:val="41"/>
        <w:ind w:firstLine="560"/>
      </w:pPr>
      <w:r>
        <w:rPr>
          <w:rFonts w:hint="eastAsia"/>
        </w:rPr>
        <w:t>（</w:t>
      </w:r>
      <w:r>
        <w:t>1</w:t>
      </w:r>
      <w:r>
        <w:rPr>
          <w:rFonts w:hint="eastAsia"/>
        </w:rPr>
        <w:t>3）《全球定位系统 GPS 测量规范》（GB/T18314-2009）</w:t>
      </w:r>
    </w:p>
    <w:p>
      <w:pPr>
        <w:pStyle w:val="41"/>
        <w:ind w:firstLine="560"/>
      </w:pPr>
      <w:r>
        <w:rPr>
          <w:rFonts w:hint="eastAsia"/>
        </w:rPr>
        <w:t>（</w:t>
      </w:r>
      <w:r>
        <w:t>1</w:t>
      </w:r>
      <w:r>
        <w:rPr>
          <w:rFonts w:hint="eastAsia"/>
        </w:rPr>
        <w:t>4）《全球定位系统实时动态测量(RTK)技术规范》（CH/T2009-2010）</w:t>
      </w:r>
    </w:p>
    <w:p>
      <w:pPr>
        <w:pStyle w:val="41"/>
        <w:ind w:firstLine="560"/>
      </w:pPr>
      <w:r>
        <w:rPr>
          <w:rFonts w:hint="eastAsia"/>
        </w:rPr>
        <w:t>（</w:t>
      </w:r>
      <w:r>
        <w:t>1</w:t>
      </w:r>
      <w:r>
        <w:rPr>
          <w:rFonts w:hint="eastAsia"/>
        </w:rPr>
        <w:t>5）《国家基本比例尺地形图图式第1部分：1:500 1:1000 1:2000 地形图图式》（GB/T20257.1-2007）</w:t>
      </w:r>
    </w:p>
    <w:p>
      <w:pPr>
        <w:pStyle w:val="41"/>
        <w:ind w:firstLine="560"/>
      </w:pPr>
      <w:r>
        <w:rPr>
          <w:rFonts w:hint="eastAsia"/>
        </w:rPr>
        <w:t>（</w:t>
      </w:r>
      <w:r>
        <w:t>1</w:t>
      </w:r>
      <w:r>
        <w:rPr>
          <w:rFonts w:hint="eastAsia"/>
        </w:rPr>
        <w:t>7）《1:500、1：1000、1:2000 数字地形图测绘规范》（DB33/T 552-2014）</w:t>
      </w:r>
    </w:p>
    <w:p>
      <w:pPr>
        <w:pStyle w:val="41"/>
        <w:ind w:firstLine="560"/>
      </w:pPr>
      <w:r>
        <w:rPr>
          <w:rFonts w:hint="eastAsia"/>
        </w:rPr>
        <w:t>（</w:t>
      </w:r>
      <w:r>
        <w:t>1</w:t>
      </w:r>
      <w:r>
        <w:rPr>
          <w:rFonts w:hint="eastAsia"/>
        </w:rPr>
        <w:t>8）《基础地理信息要素分类与图形表达代码》（DB33/T 817-2010）</w:t>
      </w:r>
    </w:p>
    <w:p>
      <w:pPr>
        <w:pStyle w:val="41"/>
        <w:ind w:firstLine="560"/>
      </w:pPr>
      <w:r>
        <w:rPr>
          <w:rFonts w:hint="eastAsia"/>
        </w:rPr>
        <w:t>（</w:t>
      </w:r>
      <w:r>
        <w:t>1</w:t>
      </w:r>
      <w:r>
        <w:rPr>
          <w:rFonts w:hint="eastAsia"/>
        </w:rPr>
        <w:t>9）《测绘资质分级标准》（国测管发〔2014〕31 号修订版）</w:t>
      </w:r>
    </w:p>
    <w:p>
      <w:pPr>
        <w:pStyle w:val="41"/>
        <w:ind w:firstLine="560"/>
      </w:pPr>
      <w:r>
        <w:rPr>
          <w:rFonts w:hint="eastAsia"/>
        </w:rPr>
        <w:t>（20）其它技术标准、规范、规程。</w:t>
      </w:r>
    </w:p>
    <w:p>
      <w:pPr>
        <w:pStyle w:val="3"/>
        <w:ind w:left="0" w:firstLine="0"/>
      </w:pPr>
      <w:bookmarkStart w:id="74" w:name="_Toc20694"/>
      <w:bookmarkStart w:id="75" w:name="_Toc44"/>
      <w:r>
        <w:rPr>
          <w:rFonts w:hint="eastAsia"/>
        </w:rPr>
        <w:t>组织实施情况</w:t>
      </w:r>
      <w:bookmarkEnd w:id="72"/>
      <w:bookmarkEnd w:id="73"/>
      <w:bookmarkEnd w:id="74"/>
      <w:bookmarkEnd w:id="75"/>
    </w:p>
    <w:p>
      <w:pPr>
        <w:pStyle w:val="41"/>
        <w:ind w:firstLine="560"/>
      </w:pPr>
      <w:r>
        <w:rPr>
          <w:rFonts w:hint="eastAsia"/>
        </w:rPr>
        <w:t>道县河湖管理范围划界工作由道县水利局组织实施，通过公开招投标确定湖南省地质矿产勘查开发局四0九队作为技术服务单位，具体分工如下：</w:t>
      </w:r>
    </w:p>
    <w:p>
      <w:pPr>
        <w:pStyle w:val="41"/>
        <w:ind w:firstLine="560"/>
      </w:pPr>
      <w:r>
        <w:rPr>
          <w:rFonts w:hint="eastAsia"/>
        </w:rPr>
        <w:t>（1）道县水利局负责组织项目实施方案的审定，项目成果的</w:t>
      </w:r>
    </w:p>
    <w:p>
      <w:pPr>
        <w:pStyle w:val="41"/>
        <w:ind w:firstLine="0" w:firstLineChars="0"/>
      </w:pPr>
      <w:r>
        <w:rPr>
          <w:rFonts w:hint="eastAsia"/>
        </w:rPr>
        <w:t>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1"/>
        <w:ind w:firstLine="560"/>
      </w:pPr>
      <w:r>
        <w:rPr>
          <w:rFonts w:hint="eastAsia"/>
        </w:rPr>
        <w:t>（2）道县自然资源局负责提供农村集体土地所有权确权相关成果、水利工程用地审批和登记等相关资料，负责组织对农村土地所有权调查成果有出入或变化河段重新进行指界。</w:t>
      </w:r>
    </w:p>
    <w:p>
      <w:pPr>
        <w:pStyle w:val="41"/>
        <w:ind w:firstLine="560"/>
      </w:pPr>
      <w:r>
        <w:rPr>
          <w:rFonts w:hint="eastAsia"/>
        </w:rPr>
        <w:t>（3）技术单位负责界线划定工作底图制作、管理范围划定、</w:t>
      </w:r>
    </w:p>
    <w:p>
      <w:pPr>
        <w:pStyle w:val="41"/>
        <w:ind w:firstLine="0" w:firstLineChars="0"/>
      </w:pPr>
      <w:r>
        <w:rPr>
          <w:rFonts w:hint="eastAsia"/>
        </w:rPr>
        <w:t>管理范围划定公告图制作、管理范围划定报告编制、权属调查等技术层面工作。</w:t>
      </w:r>
    </w:p>
    <w:p>
      <w:pPr>
        <w:pStyle w:val="4"/>
        <w:ind w:left="0" w:firstLine="0"/>
      </w:pPr>
      <w:bookmarkStart w:id="76" w:name="_Toc19851"/>
      <w:bookmarkStart w:id="77" w:name="_Toc10086"/>
      <w:bookmarkStart w:id="78" w:name="_Toc23993"/>
      <w:bookmarkStart w:id="79" w:name="_Toc15228278"/>
      <w:r>
        <w:rPr>
          <w:rFonts w:hint="eastAsia"/>
        </w:rPr>
        <w:t>已有资料收集</w:t>
      </w:r>
      <w:bookmarkEnd w:id="76"/>
      <w:bookmarkEnd w:id="77"/>
      <w:bookmarkEnd w:id="78"/>
      <w:bookmarkEnd w:id="79"/>
    </w:p>
    <w:p>
      <w:pPr>
        <w:pStyle w:val="41"/>
        <w:ind w:firstLine="560"/>
      </w:pPr>
      <w:r>
        <w:rPr>
          <w:rFonts w:hint="eastAsia"/>
        </w:rPr>
        <w:t>项目已收集的资料以及资料来源情况如下：</w:t>
      </w:r>
    </w:p>
    <w:p>
      <w:pPr>
        <w:pStyle w:val="41"/>
        <w:ind w:firstLine="560"/>
      </w:pPr>
      <w:r>
        <w:rPr>
          <w:rFonts w:hint="eastAsia"/>
        </w:rPr>
        <w:t>（1）道县不动产统一登记基础数据建设项目相关资料，包括1:2000数字正射影像、1:2000数字线划图加密成果，资源来源于湖南省水利水电科学研究院。</w:t>
      </w:r>
    </w:p>
    <w:p>
      <w:pPr>
        <w:pStyle w:val="41"/>
        <w:ind w:firstLine="560"/>
      </w:pPr>
      <w:r>
        <w:rPr>
          <w:rFonts w:hint="eastAsia"/>
        </w:rPr>
        <w:t>（2）道县农村集体土地所有权确权调査成果资料，资源来源于湖南省水利水电科学研究院。</w:t>
      </w:r>
    </w:p>
    <w:p>
      <w:pPr>
        <w:pStyle w:val="41"/>
        <w:ind w:firstLine="560"/>
      </w:pPr>
      <w:r>
        <w:rPr>
          <w:rFonts w:hint="eastAsia"/>
        </w:rPr>
        <w:t xml:space="preserve">（3）收集道县河道划界资料汇编资料、道县第一次水利普查成果相关资料，资源来源于道县水利局。 </w:t>
      </w:r>
    </w:p>
    <w:p>
      <w:pPr>
        <w:pStyle w:val="41"/>
        <w:ind w:firstLine="560"/>
      </w:pPr>
      <w:r>
        <w:rPr>
          <w:rFonts w:hint="eastAsia"/>
        </w:rPr>
        <w:t xml:space="preserve">（4）道县1:2000数字线划图成果资料，资源来源于永州市自然资源局信息中心。 </w:t>
      </w:r>
    </w:p>
    <w:p>
      <w:pPr>
        <w:pStyle w:val="41"/>
        <w:ind w:firstLine="560"/>
      </w:pPr>
      <w:r>
        <w:rPr>
          <w:rFonts w:hint="eastAsia"/>
        </w:rPr>
        <w:t>（5）道县农村土地承包经营权确权项目数据库、DOM正射影像底图，资源来源于道县农村经营管理局；</w:t>
      </w:r>
    </w:p>
    <w:p>
      <w:pPr>
        <w:pStyle w:val="4"/>
        <w:ind w:left="0" w:firstLine="0"/>
      </w:pPr>
      <w:bookmarkStart w:id="80" w:name="_Toc22180"/>
      <w:bookmarkStart w:id="81" w:name="_Toc6699"/>
      <w:bookmarkStart w:id="82" w:name="_Toc15228279"/>
      <w:bookmarkStart w:id="83" w:name="_Toc22435"/>
      <w:r>
        <w:rPr>
          <w:rFonts w:hint="eastAsia"/>
        </w:rPr>
        <w:t>工作底图制作</w:t>
      </w:r>
      <w:bookmarkEnd w:id="80"/>
      <w:bookmarkEnd w:id="81"/>
      <w:bookmarkEnd w:id="82"/>
      <w:bookmarkEnd w:id="83"/>
    </w:p>
    <w:p>
      <w:pPr>
        <w:pStyle w:val="5"/>
        <w:ind w:left="0" w:firstLine="0"/>
      </w:pPr>
      <w:bookmarkStart w:id="84" w:name="_Toc3187"/>
      <w:bookmarkStart w:id="85" w:name="_Toc24367"/>
      <w:bookmarkStart w:id="86" w:name="_Toc17582"/>
      <w:bookmarkStart w:id="87" w:name="_Toc15228280"/>
      <w:r>
        <w:rPr>
          <w:rFonts w:hint="eastAsia"/>
        </w:rPr>
        <w:t>已有资料预处理</w:t>
      </w:r>
      <w:bookmarkEnd w:id="84"/>
      <w:bookmarkEnd w:id="85"/>
      <w:bookmarkEnd w:id="86"/>
      <w:bookmarkEnd w:id="87"/>
    </w:p>
    <w:p>
      <w:pPr>
        <w:pStyle w:val="2"/>
        <w:spacing w:line="480" w:lineRule="auto"/>
        <w:ind w:firstLine="420" w:firstLineChars="150"/>
        <w:rPr>
          <w:sz w:val="28"/>
        </w:rPr>
      </w:pPr>
      <w:r>
        <w:rPr>
          <w:rFonts w:hint="eastAsia"/>
          <w:sz w:val="28"/>
        </w:rPr>
        <w:t>（1）对于无堤防河段的洪水位值进行高程基准转换，将收集到的无堤防河段所有洪水位值高程基准转换统一到1985国家高程基准。</w:t>
      </w:r>
    </w:p>
    <w:p>
      <w:pPr>
        <w:pStyle w:val="2"/>
        <w:spacing w:line="480" w:lineRule="auto"/>
        <w:ind w:firstLine="480"/>
        <w:rPr>
          <w:sz w:val="28"/>
        </w:rPr>
      </w:pPr>
      <w:r>
        <w:rPr>
          <w:rFonts w:hint="eastAsia"/>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sz w:val="28"/>
        </w:rPr>
      </w:pPr>
      <w:r>
        <w:rPr>
          <w:rFonts w:hint="eastAsia"/>
          <w:sz w:val="28"/>
        </w:rPr>
        <w:t>（3）将收集到的重要纸质资料进行矢量化处理。</w:t>
      </w:r>
    </w:p>
    <w:p>
      <w:pPr>
        <w:pStyle w:val="5"/>
        <w:ind w:left="0" w:firstLine="0"/>
      </w:pPr>
      <w:bookmarkStart w:id="88" w:name="_Toc10119"/>
      <w:bookmarkStart w:id="89" w:name="_Toc15228281"/>
      <w:bookmarkStart w:id="90" w:name="_Toc8642"/>
      <w:bookmarkStart w:id="91" w:name="_Toc30301"/>
      <w:r>
        <w:rPr>
          <w:rFonts w:hint="eastAsia"/>
        </w:rPr>
        <w:t>河湖划界参考要素补充采集</w:t>
      </w:r>
      <w:bookmarkEnd w:id="88"/>
      <w:bookmarkEnd w:id="89"/>
      <w:bookmarkEnd w:id="90"/>
      <w:bookmarkEnd w:id="91"/>
    </w:p>
    <w:p>
      <w:pPr>
        <w:pStyle w:val="2"/>
        <w:spacing w:line="480" w:lineRule="auto"/>
        <w:ind w:firstLine="480"/>
        <w:rPr>
          <w:sz w:val="28"/>
        </w:rPr>
      </w:pPr>
      <w:r>
        <w:rPr>
          <w:rFonts w:hint="eastAsia"/>
          <w:sz w:val="28"/>
        </w:rPr>
        <w:t>在航测立体釆集系统下，正确设置立体测图所用的各种参数，恢复航摄数字影像的立体模型，基于1：2000航摄资料补充采集水域外围100～200米范围内对于河道管理范围划界有参照基准作用的相关地物要素，包括等高线、河口线等，遇到山体或城区时可根据需要适当缩小测量范围。釆集等高线时，等高线平地和丘陵地区基本等高距1米，山区髙山区为2米。</w:t>
      </w:r>
    </w:p>
    <w:p>
      <w:pPr>
        <w:pStyle w:val="5"/>
        <w:ind w:left="0" w:firstLine="0"/>
      </w:pPr>
      <w:bookmarkStart w:id="92" w:name="_Toc11859"/>
      <w:bookmarkStart w:id="93" w:name="_Toc7003"/>
      <w:bookmarkStart w:id="94" w:name="_Toc15228282"/>
      <w:bookmarkStart w:id="95" w:name="_Toc28170"/>
      <w:r>
        <w:rPr>
          <w:rFonts w:hint="eastAsia"/>
        </w:rPr>
        <w:t>地形图补充测量</w:t>
      </w:r>
      <w:bookmarkEnd w:id="92"/>
      <w:bookmarkEnd w:id="93"/>
      <w:bookmarkEnd w:id="94"/>
      <w:bookmarkEnd w:id="95"/>
    </w:p>
    <w:p>
      <w:pPr>
        <w:pStyle w:val="2"/>
        <w:spacing w:line="480" w:lineRule="auto"/>
        <w:ind w:firstLine="480"/>
        <w:rPr>
          <w:sz w:val="28"/>
        </w:rPr>
      </w:pPr>
      <w:r>
        <w:rPr>
          <w:rFonts w:hint="eastAsia"/>
          <w:sz w:val="28"/>
        </w:rPr>
        <w:t>对于1:2000不动产统一登记基础数据不成图区，釆用野外实测或者采购0.4米或更高分辨率的卫星立体像对补充测制地形图。共计测量91个横断面数据，用于设计洪水位计算。</w:t>
      </w:r>
    </w:p>
    <w:p>
      <w:pPr>
        <w:pStyle w:val="5"/>
        <w:ind w:left="0" w:firstLine="0"/>
      </w:pPr>
      <w:bookmarkStart w:id="96" w:name="_Toc13811"/>
      <w:bookmarkStart w:id="97" w:name="_Toc11249"/>
      <w:bookmarkStart w:id="98" w:name="_Toc15228283"/>
      <w:bookmarkStart w:id="99" w:name="_Toc22601"/>
      <w:r>
        <w:rPr>
          <w:rFonts w:hint="eastAsia"/>
        </w:rPr>
        <w:t>数据整合</w:t>
      </w:r>
      <w:bookmarkEnd w:id="96"/>
      <w:bookmarkEnd w:id="97"/>
      <w:bookmarkEnd w:id="98"/>
      <w:bookmarkEnd w:id="99"/>
    </w:p>
    <w:p>
      <w:pPr>
        <w:pStyle w:val="2"/>
        <w:spacing w:line="480" w:lineRule="auto"/>
        <w:ind w:firstLine="565" w:firstLineChars="202"/>
        <w:rPr>
          <w:sz w:val="28"/>
        </w:rPr>
      </w:pPr>
      <w:r>
        <w:rPr>
          <w:rFonts w:hint="eastAsia"/>
          <w:sz w:val="28"/>
        </w:rPr>
        <w:t>（1）根据第一次水利普查、地方水利部门提供的相关资料，补充完善河流面和堤防等要素的属性值。不同防洪等级河段对应的水系结构线应断开，并分别赋相应属性值。</w:t>
      </w:r>
    </w:p>
    <w:p>
      <w:pPr>
        <w:pStyle w:val="2"/>
        <w:spacing w:line="480" w:lineRule="auto"/>
        <w:ind w:firstLine="565" w:firstLineChars="202"/>
        <w:rPr>
          <w:sz w:val="28"/>
        </w:rPr>
      </w:pPr>
      <w:r>
        <w:rPr>
          <w:rFonts w:hint="eastAsia"/>
          <w:sz w:val="28"/>
        </w:rPr>
        <w:t>（2）对有空间地理数据的堤防规划和权源资料进行格式转换、坐标转换等处理，对无空间地理数据的堤防规划和权源资料尽量根据界桩点坐标和文字说明进行矢量化，形成空间数据。</w:t>
      </w:r>
    </w:p>
    <w:p>
      <w:pPr>
        <w:pStyle w:val="41"/>
        <w:ind w:firstLine="565" w:firstLineChars="202"/>
      </w:pPr>
      <w:r>
        <w:rPr>
          <w:rFonts w:hint="eastAsia"/>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ind w:left="0" w:firstLine="0"/>
      </w:pPr>
      <w:bookmarkStart w:id="100" w:name="_Toc1381"/>
      <w:bookmarkStart w:id="101" w:name="_Toc15228284"/>
      <w:bookmarkStart w:id="102" w:name="_Toc10388"/>
      <w:bookmarkStart w:id="103" w:name="_Toc25191"/>
      <w:r>
        <w:rPr>
          <w:rFonts w:hint="eastAsia"/>
        </w:rPr>
        <w:t>管理范围室内初步划定</w:t>
      </w:r>
      <w:bookmarkEnd w:id="100"/>
      <w:bookmarkEnd w:id="101"/>
      <w:bookmarkEnd w:id="102"/>
      <w:bookmarkEnd w:id="103"/>
    </w:p>
    <w:p>
      <w:pPr>
        <w:pStyle w:val="2"/>
        <w:spacing w:line="480" w:lineRule="auto"/>
        <w:ind w:firstLine="565" w:firstLineChars="202"/>
        <w:rPr>
          <w:sz w:val="28"/>
        </w:rPr>
      </w:pPr>
      <w:r>
        <w:rPr>
          <w:rFonts w:hint="eastAsia"/>
          <w:sz w:val="28"/>
        </w:rPr>
        <w:t>按照河道管理范围划定的原则和标准，在室内基于工作底图初步划定管理范围线，布设界桩和告示牌。</w:t>
      </w:r>
    </w:p>
    <w:p>
      <w:pPr>
        <w:pStyle w:val="5"/>
        <w:ind w:left="0" w:firstLine="0"/>
      </w:pPr>
      <w:bookmarkStart w:id="104" w:name="_Toc2805"/>
      <w:bookmarkStart w:id="105" w:name="_Toc29670"/>
      <w:bookmarkStart w:id="106" w:name="_Toc23944"/>
      <w:bookmarkStart w:id="107" w:name="_Toc15228285"/>
      <w:r>
        <w:rPr>
          <w:rFonts w:hint="eastAsia"/>
        </w:rPr>
        <w:t>设计水位分析</w:t>
      </w:r>
      <w:bookmarkEnd w:id="104"/>
      <w:bookmarkEnd w:id="105"/>
      <w:bookmarkEnd w:id="106"/>
      <w:bookmarkEnd w:id="107"/>
    </w:p>
    <w:p>
      <w:pPr>
        <w:pStyle w:val="6"/>
        <w:spacing w:before="0" w:after="0" w:line="240" w:lineRule="auto"/>
        <w:ind w:left="0" w:firstLine="0"/>
      </w:pPr>
      <w:bookmarkStart w:id="108" w:name="_Toc19227"/>
      <w:bookmarkStart w:id="109" w:name="_Toc15228286"/>
      <w:r>
        <w:rPr>
          <w:rFonts w:hint="eastAsia"/>
        </w:rPr>
        <w:t>设计洪水标准及河流分段</w:t>
      </w:r>
    </w:p>
    <w:p>
      <w:pPr>
        <w:ind w:firstLine="560" w:firstLineChars="200"/>
        <w:rPr>
          <w:sz w:val="28"/>
        </w:rPr>
      </w:pPr>
      <w:r>
        <w:rPr>
          <w:rFonts w:hint="eastAsia"/>
          <w:sz w:val="28"/>
        </w:rPr>
        <w:t>根据2014年6月23日由国家质量技术监督局和中华人民共和国建设部联合发布、2015年5月1日起实施的中华人民共和国国家标准《防洪标准》(GB 50201-2014)，以乡村为主的防护区，应根据人口或耕地面积分为四个等级，各等级的防洪标准如表3.1-1。</w:t>
      </w:r>
    </w:p>
    <w:p>
      <w:pPr>
        <w:snapToGrid w:val="0"/>
        <w:spacing w:beforeLines="50" w:line="360" w:lineRule="auto"/>
        <w:rPr>
          <w:b/>
          <w:sz w:val="24"/>
          <w:szCs w:val="24"/>
        </w:rPr>
      </w:pPr>
      <w:r>
        <w:rPr>
          <w:b/>
          <w:szCs w:val="21"/>
        </w:rPr>
        <w:t>表</w:t>
      </w:r>
      <w:r>
        <w:rPr>
          <w:rFonts w:hint="eastAsia"/>
          <w:b/>
          <w:szCs w:val="21"/>
        </w:rPr>
        <w:t>3.1</w:t>
      </w:r>
      <w:r>
        <w:rPr>
          <w:b/>
          <w:szCs w:val="21"/>
        </w:rPr>
        <w:t>-</w:t>
      </w:r>
      <w:r>
        <w:rPr>
          <w:rFonts w:hint="eastAsia"/>
          <w:b/>
          <w:szCs w:val="21"/>
        </w:rPr>
        <w:t xml:space="preserve">1              </w:t>
      </w:r>
      <w:r>
        <w:rPr>
          <w:rFonts w:hint="eastAsia"/>
          <w:b/>
          <w:sz w:val="24"/>
          <w:szCs w:val="24"/>
        </w:rPr>
        <w:t>乡村防护区</w:t>
      </w:r>
      <w:r>
        <w:rPr>
          <w:b/>
          <w:sz w:val="24"/>
          <w:szCs w:val="24"/>
        </w:rPr>
        <w:t>的</w:t>
      </w:r>
      <w:r>
        <w:rPr>
          <w:rFonts w:hint="eastAsia"/>
          <w:b/>
          <w:sz w:val="24"/>
          <w:szCs w:val="24"/>
        </w:rPr>
        <w:t>防护</w:t>
      </w:r>
      <w:r>
        <w:rPr>
          <w:b/>
          <w:sz w:val="24"/>
          <w:szCs w:val="24"/>
        </w:rPr>
        <w:t>等级和防洪标准</w:t>
      </w:r>
    </w:p>
    <w:tbl>
      <w:tblPr>
        <w:tblStyle w:val="22"/>
        <w:tblW w:w="85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406"/>
        <w:gridCol w:w="2592"/>
        <w:gridCol w:w="2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863" w:type="dxa"/>
            <w:noWrap/>
            <w:vAlign w:val="center"/>
          </w:tcPr>
          <w:p>
            <w:pPr>
              <w:snapToGrid w:val="0"/>
              <w:spacing w:line="400" w:lineRule="exact"/>
              <w:jc w:val="center"/>
              <w:rPr>
                <w:szCs w:val="21"/>
              </w:rPr>
            </w:pPr>
            <w:r>
              <w:rPr>
                <w:szCs w:val="21"/>
              </w:rPr>
              <w:t>等级</w:t>
            </w:r>
          </w:p>
        </w:tc>
        <w:tc>
          <w:tcPr>
            <w:tcW w:w="2406" w:type="dxa"/>
            <w:noWrap/>
            <w:vAlign w:val="center"/>
          </w:tcPr>
          <w:p>
            <w:pPr>
              <w:snapToGrid w:val="0"/>
              <w:spacing w:line="400" w:lineRule="exact"/>
              <w:jc w:val="center"/>
              <w:rPr>
                <w:szCs w:val="21"/>
              </w:rPr>
            </w:pPr>
            <w:r>
              <w:rPr>
                <w:rFonts w:hint="eastAsia"/>
                <w:szCs w:val="21"/>
              </w:rPr>
              <w:t>人口(万人)</w:t>
            </w:r>
          </w:p>
        </w:tc>
        <w:tc>
          <w:tcPr>
            <w:tcW w:w="2592" w:type="dxa"/>
            <w:noWrap/>
            <w:vAlign w:val="center"/>
          </w:tcPr>
          <w:p>
            <w:pPr>
              <w:snapToGrid w:val="0"/>
              <w:spacing w:line="400" w:lineRule="exact"/>
              <w:jc w:val="center"/>
              <w:rPr>
                <w:rFonts w:eastAsia="宋体"/>
                <w:szCs w:val="21"/>
              </w:rPr>
            </w:pPr>
            <w:r>
              <w:rPr>
                <w:rFonts w:hint="eastAsia"/>
                <w:szCs w:val="21"/>
              </w:rPr>
              <w:t>耕地面积(万亩)</w:t>
            </w:r>
          </w:p>
        </w:tc>
        <w:tc>
          <w:tcPr>
            <w:tcW w:w="2679" w:type="dxa"/>
            <w:noWrap/>
            <w:vAlign w:val="center"/>
          </w:tcPr>
          <w:p>
            <w:pPr>
              <w:snapToGrid w:val="0"/>
              <w:spacing w:line="40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Ⅰ</w:t>
            </w:r>
          </w:p>
        </w:tc>
        <w:tc>
          <w:tcPr>
            <w:tcW w:w="2406" w:type="dxa"/>
            <w:noWrap/>
            <w:vAlign w:val="center"/>
          </w:tcPr>
          <w:p>
            <w:pPr>
              <w:snapToGrid w:val="0"/>
              <w:spacing w:line="400" w:lineRule="exact"/>
              <w:jc w:val="center"/>
              <w:rPr>
                <w:szCs w:val="21"/>
              </w:rPr>
            </w:pPr>
            <w:r>
              <w:rPr>
                <w:szCs w:val="21"/>
              </w:rPr>
              <w:t>&gt;150</w:t>
            </w:r>
          </w:p>
        </w:tc>
        <w:tc>
          <w:tcPr>
            <w:tcW w:w="2592" w:type="dxa"/>
            <w:noWrap/>
            <w:vAlign w:val="center"/>
          </w:tcPr>
          <w:p>
            <w:pPr>
              <w:snapToGrid w:val="0"/>
              <w:spacing w:line="400" w:lineRule="exact"/>
              <w:jc w:val="center"/>
              <w:rPr>
                <w:szCs w:val="21"/>
              </w:rPr>
            </w:pPr>
            <w:r>
              <w:rPr>
                <w:szCs w:val="21"/>
              </w:rPr>
              <w:t>&gt;</w:t>
            </w:r>
            <w:r>
              <w:rPr>
                <w:rFonts w:hint="eastAsia"/>
                <w:szCs w:val="21"/>
              </w:rPr>
              <w:t>30</w:t>
            </w:r>
            <w:r>
              <w:rPr>
                <w:szCs w:val="21"/>
              </w:rPr>
              <w:t>0</w:t>
            </w:r>
          </w:p>
        </w:tc>
        <w:tc>
          <w:tcPr>
            <w:tcW w:w="2679" w:type="dxa"/>
            <w:noWrap/>
            <w:vAlign w:val="center"/>
          </w:tcPr>
          <w:p>
            <w:pPr>
              <w:snapToGrid w:val="0"/>
              <w:spacing w:line="40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Ⅱ</w:t>
            </w:r>
          </w:p>
        </w:tc>
        <w:tc>
          <w:tcPr>
            <w:tcW w:w="2406" w:type="dxa"/>
            <w:noWrap/>
            <w:vAlign w:val="center"/>
          </w:tcPr>
          <w:p>
            <w:pPr>
              <w:snapToGrid w:val="0"/>
              <w:spacing w:line="400" w:lineRule="exact"/>
              <w:jc w:val="center"/>
              <w:rPr>
                <w:szCs w:val="21"/>
              </w:rPr>
            </w:pPr>
            <w:r>
              <w:rPr>
                <w:szCs w:val="21"/>
              </w:rPr>
              <w:t>50-</w:t>
            </w:r>
            <w:r>
              <w:rPr>
                <w:rFonts w:hint="eastAsia"/>
                <w:szCs w:val="21"/>
              </w:rPr>
              <w:t>1</w:t>
            </w:r>
            <w:r>
              <w:rPr>
                <w:szCs w:val="21"/>
              </w:rPr>
              <w:t>50</w:t>
            </w:r>
          </w:p>
        </w:tc>
        <w:tc>
          <w:tcPr>
            <w:tcW w:w="2592" w:type="dxa"/>
            <w:noWrap/>
            <w:vAlign w:val="center"/>
          </w:tcPr>
          <w:p>
            <w:pPr>
              <w:snapToGrid w:val="0"/>
              <w:spacing w:line="40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9" w:type="dxa"/>
            <w:noWrap/>
            <w:vAlign w:val="center"/>
          </w:tcPr>
          <w:p>
            <w:pPr>
              <w:snapToGrid w:val="0"/>
              <w:spacing w:line="40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Ⅲ</w:t>
            </w:r>
          </w:p>
        </w:tc>
        <w:tc>
          <w:tcPr>
            <w:tcW w:w="2406" w:type="dxa"/>
            <w:noWrap/>
            <w:vAlign w:val="center"/>
          </w:tcPr>
          <w:p>
            <w:pPr>
              <w:snapToGrid w:val="0"/>
              <w:spacing w:line="400" w:lineRule="exact"/>
              <w:jc w:val="center"/>
              <w:rPr>
                <w:szCs w:val="21"/>
              </w:rPr>
            </w:pPr>
            <w:r>
              <w:rPr>
                <w:rFonts w:hint="eastAsia"/>
                <w:szCs w:val="21"/>
              </w:rPr>
              <w:t>2</w:t>
            </w:r>
            <w:r>
              <w:rPr>
                <w:szCs w:val="21"/>
              </w:rPr>
              <w:t>0-</w:t>
            </w:r>
            <w:r>
              <w:rPr>
                <w:rFonts w:hint="eastAsia"/>
                <w:szCs w:val="21"/>
              </w:rPr>
              <w:t>5</w:t>
            </w:r>
            <w:r>
              <w:rPr>
                <w:szCs w:val="21"/>
              </w:rPr>
              <w:t>0</w:t>
            </w:r>
          </w:p>
        </w:tc>
        <w:tc>
          <w:tcPr>
            <w:tcW w:w="2592" w:type="dxa"/>
            <w:noWrap/>
            <w:vAlign w:val="center"/>
          </w:tcPr>
          <w:p>
            <w:pPr>
              <w:snapToGrid w:val="0"/>
              <w:spacing w:line="400" w:lineRule="exact"/>
              <w:jc w:val="center"/>
              <w:rPr>
                <w:szCs w:val="21"/>
              </w:rPr>
            </w:pPr>
            <w:r>
              <w:rPr>
                <w:rFonts w:hint="eastAsia"/>
                <w:szCs w:val="21"/>
              </w:rPr>
              <w:t>3</w:t>
            </w:r>
            <w:r>
              <w:rPr>
                <w:szCs w:val="21"/>
              </w:rPr>
              <w:t>0-</w:t>
            </w:r>
            <w:r>
              <w:rPr>
                <w:rFonts w:hint="eastAsia"/>
                <w:szCs w:val="21"/>
              </w:rPr>
              <w:t>10</w:t>
            </w:r>
            <w:r>
              <w:rPr>
                <w:szCs w:val="21"/>
              </w:rPr>
              <w:t>0</w:t>
            </w:r>
          </w:p>
        </w:tc>
        <w:tc>
          <w:tcPr>
            <w:tcW w:w="2679" w:type="dxa"/>
            <w:noWrap/>
            <w:vAlign w:val="center"/>
          </w:tcPr>
          <w:p>
            <w:pPr>
              <w:snapToGrid w:val="0"/>
              <w:spacing w:line="40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63" w:type="dxa"/>
            <w:noWrap/>
            <w:vAlign w:val="center"/>
          </w:tcPr>
          <w:p>
            <w:pPr>
              <w:snapToGrid w:val="0"/>
              <w:spacing w:line="400" w:lineRule="exact"/>
              <w:jc w:val="center"/>
              <w:rPr>
                <w:szCs w:val="21"/>
              </w:rPr>
            </w:pPr>
            <w:r>
              <w:rPr>
                <w:szCs w:val="21"/>
              </w:rPr>
              <w:t>Ⅳ</w:t>
            </w:r>
          </w:p>
        </w:tc>
        <w:tc>
          <w:tcPr>
            <w:tcW w:w="2406" w:type="dxa"/>
            <w:noWrap/>
            <w:vAlign w:val="center"/>
          </w:tcPr>
          <w:p>
            <w:pPr>
              <w:snapToGrid w:val="0"/>
              <w:spacing w:line="400" w:lineRule="exact"/>
              <w:jc w:val="center"/>
              <w:rPr>
                <w:szCs w:val="21"/>
              </w:rPr>
            </w:pPr>
            <w:r>
              <w:rPr>
                <w:szCs w:val="21"/>
              </w:rPr>
              <w:t>&lt;20</w:t>
            </w:r>
          </w:p>
        </w:tc>
        <w:tc>
          <w:tcPr>
            <w:tcW w:w="2592" w:type="dxa"/>
            <w:noWrap/>
            <w:vAlign w:val="center"/>
          </w:tcPr>
          <w:p>
            <w:pPr>
              <w:snapToGrid w:val="0"/>
              <w:spacing w:line="400" w:lineRule="exact"/>
              <w:jc w:val="center"/>
              <w:rPr>
                <w:szCs w:val="21"/>
              </w:rPr>
            </w:pPr>
            <w:r>
              <w:rPr>
                <w:szCs w:val="21"/>
              </w:rPr>
              <w:t>&lt;</w:t>
            </w:r>
            <w:r>
              <w:rPr>
                <w:rFonts w:hint="eastAsia"/>
                <w:szCs w:val="21"/>
              </w:rPr>
              <w:t>3</w:t>
            </w:r>
            <w:r>
              <w:rPr>
                <w:szCs w:val="21"/>
              </w:rPr>
              <w:t>0</w:t>
            </w:r>
          </w:p>
        </w:tc>
        <w:tc>
          <w:tcPr>
            <w:tcW w:w="2679" w:type="dxa"/>
            <w:noWrap/>
            <w:vAlign w:val="center"/>
          </w:tcPr>
          <w:p>
            <w:pPr>
              <w:snapToGrid w:val="0"/>
              <w:spacing w:line="400" w:lineRule="exact"/>
              <w:jc w:val="center"/>
            </w:pPr>
            <w:r>
              <w:rPr>
                <w:rFonts w:hint="eastAsia"/>
                <w:szCs w:val="21"/>
              </w:rPr>
              <w:t>2</w:t>
            </w:r>
            <w:r>
              <w:rPr>
                <w:szCs w:val="21"/>
              </w:rPr>
              <w:t>0-</w:t>
            </w:r>
            <w:r>
              <w:rPr>
                <w:rFonts w:hint="eastAsia"/>
                <w:szCs w:val="21"/>
              </w:rPr>
              <w:t>1</w:t>
            </w:r>
            <w:r>
              <w:rPr>
                <w:szCs w:val="21"/>
              </w:rPr>
              <w:t>0</w:t>
            </w:r>
          </w:p>
        </w:tc>
      </w:tr>
    </w:tbl>
    <w:p>
      <w:pPr>
        <w:snapToGrid w:val="0"/>
        <w:spacing w:beforeLines="50" w:line="360" w:lineRule="auto"/>
        <w:ind w:firstLine="560" w:firstLineChars="200"/>
        <w:rPr>
          <w:sz w:val="28"/>
          <w:szCs w:val="28"/>
        </w:rPr>
      </w:pPr>
      <w:r>
        <w:rPr>
          <w:rFonts w:hint="eastAsia"/>
          <w:sz w:val="28"/>
          <w:szCs w:val="28"/>
        </w:rPr>
        <w:t>秀江道县河段沿岸经过乡村地段，由上表可知本河段范围内防洪标准为10年一遇。</w:t>
      </w:r>
    </w:p>
    <w:p>
      <w:pPr>
        <w:ind w:firstLine="560" w:firstLineChars="200"/>
        <w:rPr>
          <w:sz w:val="28"/>
          <w:szCs w:val="28"/>
        </w:rPr>
      </w:pPr>
      <w:r>
        <w:rPr>
          <w:rFonts w:hint="eastAsia"/>
          <w:sz w:val="28"/>
          <w:szCs w:val="28"/>
        </w:rPr>
        <w:t>秀江道县段控制流域面积相对较小，且该河段内没有较大支流汇入，因此本次设计洪水计算不再进行河流分段。本次计算河段属于小流域，流域内没有水文测站资料，因此只能采用由设计暴雨推求设计洪水的计算方法。</w:t>
      </w:r>
    </w:p>
    <w:p>
      <w:pPr>
        <w:pStyle w:val="6"/>
        <w:spacing w:before="0" w:after="0" w:line="240" w:lineRule="auto"/>
        <w:ind w:left="0" w:firstLine="0"/>
      </w:pPr>
      <w:r>
        <w:rPr>
          <w:rFonts w:hint="eastAsia"/>
        </w:rPr>
        <w:t>划界河段基本情况</w:t>
      </w:r>
    </w:p>
    <w:p>
      <w:pPr>
        <w:pStyle w:val="41"/>
        <w:adjustRightInd w:val="0"/>
        <w:spacing w:beforeLines="50" w:line="360" w:lineRule="auto"/>
        <w:ind w:firstLine="560"/>
        <w:jc w:val="left"/>
        <w:rPr>
          <w:rFonts w:ascii="Times New Roman" w:hAnsi="Times New Roman" w:cs="Times New Roman"/>
          <w:color w:val="FF0000"/>
          <w:szCs w:val="28"/>
        </w:rPr>
      </w:pPr>
      <w:r>
        <w:rPr>
          <w:rFonts w:hint="eastAsia" w:ascii="Times New Roman" w:cs="Times New Roman"/>
          <w:szCs w:val="28"/>
        </w:rPr>
        <w:t>秀江</w:t>
      </w:r>
      <w:r>
        <w:rPr>
          <w:rFonts w:ascii="Times New Roman" w:hAnsi="Times New Roman" w:eastAsia="宋体" w:cs="Times New Roman"/>
          <w:szCs w:val="28"/>
        </w:rPr>
        <w:t>道县</w:t>
      </w:r>
      <w:r>
        <w:rPr>
          <w:rFonts w:ascii="Times New Roman" w:hAnsi="Times New Roman" w:cs="Times New Roman"/>
          <w:szCs w:val="28"/>
        </w:rPr>
        <w:t>划界</w:t>
      </w:r>
      <w:r>
        <w:rPr>
          <w:rFonts w:ascii="Times New Roman" w:hAnsi="Times New Roman" w:eastAsia="宋体" w:cs="Times New Roman"/>
          <w:szCs w:val="28"/>
        </w:rPr>
        <w:t>河段</w:t>
      </w:r>
      <w:r>
        <w:rPr>
          <w:rFonts w:hint="eastAsia" w:ascii="Times New Roman" w:cs="Times New Roman"/>
          <w:szCs w:val="28"/>
        </w:rPr>
        <w:t>为秀江源头段</w:t>
      </w:r>
      <w:r>
        <w:rPr>
          <w:rFonts w:ascii="Times New Roman" w:hAnsi="Times New Roman" w:cs="Times New Roman"/>
          <w:szCs w:val="28"/>
        </w:rPr>
        <w:t>，</w:t>
      </w:r>
      <w:r>
        <w:rPr>
          <w:rFonts w:ascii="Times New Roman" w:hAnsi="Times New Roman" w:eastAsia="宋体" w:cs="Times New Roman"/>
          <w:szCs w:val="28"/>
        </w:rPr>
        <w:t>划界河段长度约</w:t>
      </w:r>
      <w:r>
        <w:rPr>
          <w:rFonts w:hint="eastAsia" w:ascii="Times New Roman" w:cs="Times New Roman"/>
          <w:szCs w:val="28"/>
        </w:rPr>
        <w:t>3.9</w:t>
      </w:r>
      <w:r>
        <w:rPr>
          <w:rFonts w:ascii="Times New Roman" w:hAnsi="Times New Roman" w:eastAsia="宋体" w:cs="Times New Roman"/>
          <w:szCs w:val="28"/>
        </w:rPr>
        <w:t>km，控制流域面积</w:t>
      </w:r>
      <w:r>
        <w:rPr>
          <w:rFonts w:hint="eastAsia" w:ascii="Times New Roman" w:cs="Times New Roman"/>
          <w:szCs w:val="28"/>
        </w:rPr>
        <w:t>3.5</w:t>
      </w:r>
      <w:r>
        <w:rPr>
          <w:rFonts w:ascii="Times New Roman" w:hAnsi="Times New Roman" w:eastAsia="宋体" w:cs="Times New Roman"/>
          <w:szCs w:val="28"/>
        </w:rPr>
        <w:t>km</w:t>
      </w:r>
      <w:r>
        <w:rPr>
          <w:rFonts w:ascii="Times New Roman" w:hAnsi="Times New Roman" w:eastAsia="宋体" w:cs="Times New Roman"/>
          <w:szCs w:val="28"/>
          <w:vertAlign w:val="superscript"/>
        </w:rPr>
        <w:t>2</w:t>
      </w:r>
      <w:r>
        <w:rPr>
          <w:rFonts w:ascii="Times New Roman" w:hAnsi="Times New Roman" w:eastAsia="宋体" w:cs="Times New Roman"/>
          <w:szCs w:val="28"/>
        </w:rPr>
        <w:t>。</w:t>
      </w:r>
    </w:p>
    <w:p>
      <w:pPr>
        <w:pStyle w:val="6"/>
        <w:spacing w:before="0" w:after="0" w:line="240" w:lineRule="auto"/>
        <w:ind w:left="0" w:firstLine="0"/>
      </w:pPr>
      <w:bookmarkStart w:id="110" w:name="_Toc29292"/>
      <w:r>
        <w:rPr>
          <w:rFonts w:hint="eastAsia"/>
        </w:rPr>
        <w:t>测站基本情况</w:t>
      </w:r>
    </w:p>
    <w:p>
      <w:pPr>
        <w:numPr>
          <w:ilvl w:val="0"/>
          <w:numId w:val="2"/>
        </w:numPr>
        <w:snapToGrid w:val="0"/>
        <w:spacing w:beforeLines="50" w:line="360" w:lineRule="auto"/>
        <w:ind w:firstLine="560" w:firstLineChars="200"/>
        <w:rPr>
          <w:rFonts w:hAnsi="宋体"/>
          <w:sz w:val="28"/>
          <w:szCs w:val="28"/>
        </w:rPr>
      </w:pPr>
      <w:r>
        <w:rPr>
          <w:rFonts w:hint="eastAsia"/>
          <w:bCs/>
          <w:sz w:val="28"/>
          <w:szCs w:val="28"/>
        </w:rPr>
        <w:t>道县水文站：</w:t>
      </w:r>
      <w:r>
        <w:rPr>
          <w:sz w:val="28"/>
          <w:szCs w:val="28"/>
        </w:rPr>
        <w:t>1951年2月起在</w:t>
      </w:r>
      <w:r>
        <w:rPr>
          <w:rFonts w:hint="eastAsia"/>
          <w:sz w:val="28"/>
          <w:szCs w:val="28"/>
        </w:rPr>
        <w:t>潇水干流</w:t>
      </w:r>
      <w:r>
        <w:rPr>
          <w:sz w:val="28"/>
          <w:szCs w:val="28"/>
        </w:rPr>
        <w:t>道县道江镇下关村附近设立水位站并观测水位，1959年1月起由于下游双牌水库的兴建，水位将受顶托，因而上迁4km，并改为水文站，作为双牌水库控制站，测站观测至今无变动，道县水文站位于道江镇南</w:t>
      </w:r>
      <w:r>
        <w:rPr>
          <w:rFonts w:hint="eastAsia"/>
          <w:sz w:val="28"/>
          <w:szCs w:val="28"/>
        </w:rPr>
        <w:t>郊</w:t>
      </w:r>
      <w:r>
        <w:rPr>
          <w:sz w:val="28"/>
          <w:szCs w:val="28"/>
        </w:rPr>
        <w:t>万家庄乡沿河村，下距河口约145km，控制流域集水面积5613km</w:t>
      </w:r>
      <w:r>
        <w:rPr>
          <w:sz w:val="28"/>
          <w:szCs w:val="28"/>
          <w:vertAlign w:val="superscript"/>
        </w:rPr>
        <w:t>2</w:t>
      </w:r>
      <w:r>
        <w:rPr>
          <w:rFonts w:hint="eastAsia" w:hAnsi="宋体"/>
          <w:sz w:val="28"/>
          <w:szCs w:val="28"/>
        </w:rPr>
        <w:t>。</w:t>
      </w:r>
    </w:p>
    <w:p>
      <w:pPr>
        <w:snapToGrid w:val="0"/>
        <w:spacing w:beforeLines="50" w:line="360" w:lineRule="auto"/>
        <w:ind w:firstLine="560" w:firstLineChars="200"/>
        <w:rPr>
          <w:rFonts w:ascii="Times New Roman" w:hAnsi="Times New Roman" w:cs="Times New Roman"/>
          <w:b/>
          <w:bCs/>
          <w:sz w:val="28"/>
          <w:szCs w:val="28"/>
        </w:rPr>
      </w:pPr>
      <w:r>
        <w:rPr>
          <w:rFonts w:hint="eastAsia" w:hAnsi="宋体"/>
          <w:sz w:val="28"/>
          <w:szCs w:val="28"/>
        </w:rPr>
        <w:t>2.豪福水文站：宜江流域有豪福水文站，位于洑水中游，该站设立于1959年，位于道县寿雁镇豪福村，其控制流域面积431km</w:t>
      </w:r>
      <w:r>
        <w:rPr>
          <w:rFonts w:hint="eastAsia" w:hAnsi="宋体"/>
          <w:sz w:val="28"/>
          <w:szCs w:val="28"/>
          <w:vertAlign w:val="superscript"/>
        </w:rPr>
        <w:t>2</w:t>
      </w:r>
      <w:r>
        <w:rPr>
          <w:rFonts w:hint="eastAsia" w:hAnsi="宋体"/>
          <w:sz w:val="28"/>
          <w:szCs w:val="28"/>
        </w:rPr>
        <w:t>。</w:t>
      </w:r>
    </w:p>
    <w:p>
      <w:pPr>
        <w:pStyle w:val="6"/>
        <w:spacing w:before="0" w:after="0" w:line="240" w:lineRule="auto"/>
        <w:ind w:left="0" w:firstLine="0"/>
      </w:pPr>
      <w:r>
        <w:rPr>
          <w:rFonts w:hint="eastAsia"/>
        </w:rPr>
        <w:t>河道断面资料</w:t>
      </w:r>
      <w:bookmarkEnd w:id="110"/>
    </w:p>
    <w:p>
      <w:pPr>
        <w:adjustRightInd w:val="0"/>
        <w:snapToGrid w:val="0"/>
        <w:spacing w:beforeLines="50" w:line="360" w:lineRule="auto"/>
        <w:ind w:firstLine="560" w:firstLineChars="200"/>
        <w:rPr>
          <w:sz w:val="28"/>
          <w:szCs w:val="28"/>
        </w:rPr>
      </w:pPr>
      <w:r>
        <w:rPr>
          <w:sz w:val="28"/>
          <w:szCs w:val="28"/>
        </w:rPr>
        <w:t>本</w:t>
      </w:r>
      <w:r>
        <w:rPr>
          <w:rFonts w:hint="eastAsia"/>
          <w:sz w:val="28"/>
          <w:szCs w:val="28"/>
        </w:rPr>
        <w:t>次根据河道宽度变化情况，河道走势及涉河建筑物情况，</w:t>
      </w:r>
      <w:r>
        <w:rPr>
          <w:sz w:val="28"/>
          <w:szCs w:val="28"/>
        </w:rPr>
        <w:t>在</w:t>
      </w:r>
      <w:r>
        <w:rPr>
          <w:rFonts w:hint="eastAsia"/>
          <w:sz w:val="28"/>
          <w:szCs w:val="28"/>
        </w:rPr>
        <w:t>秀江道县河段3.9km范围内共布置并实测河道横断面28个</w:t>
      </w:r>
      <w:r>
        <w:rPr>
          <w:sz w:val="28"/>
          <w:szCs w:val="28"/>
        </w:rPr>
        <w:t>。上述横断面能</w:t>
      </w:r>
      <w:r>
        <w:rPr>
          <w:rFonts w:hint="eastAsia"/>
          <w:sz w:val="28"/>
          <w:szCs w:val="28"/>
        </w:rPr>
        <w:t>很</w:t>
      </w:r>
      <w:r>
        <w:rPr>
          <w:sz w:val="28"/>
          <w:szCs w:val="28"/>
        </w:rPr>
        <w:t>好地反映河道的形态变化，</w:t>
      </w:r>
      <w:r>
        <w:rPr>
          <w:rFonts w:hint="eastAsia"/>
          <w:sz w:val="28"/>
          <w:szCs w:val="28"/>
        </w:rPr>
        <w:t>完全能够</w:t>
      </w:r>
      <w:r>
        <w:rPr>
          <w:sz w:val="28"/>
          <w:szCs w:val="28"/>
        </w:rPr>
        <w:t>满足本阶段设计的要求。</w:t>
      </w:r>
    </w:p>
    <w:p>
      <w:pPr>
        <w:pStyle w:val="6"/>
        <w:rPr>
          <w:rFonts w:ascii="Times New Roman" w:hAnsi="Times New Roman" w:cs="Times New Roman"/>
          <w:szCs w:val="32"/>
          <w:lang w:val="zh-CN"/>
        </w:rPr>
      </w:pPr>
      <w:r>
        <w:rPr>
          <w:rFonts w:hint="eastAsia"/>
        </w:rPr>
        <w:t>设计洪水计算</w:t>
      </w:r>
    </w:p>
    <w:p>
      <w:pPr>
        <w:pStyle w:val="7"/>
        <w:spacing w:before="0" w:after="0" w:line="240" w:lineRule="auto"/>
        <w:ind w:left="0" w:firstLine="0"/>
      </w:pPr>
      <w:bookmarkStart w:id="111" w:name="_Toc10158"/>
      <w:r>
        <w:rPr>
          <w:rFonts w:hint="eastAsia"/>
        </w:rPr>
        <w:t>设计洪水标准及河流分段</w:t>
      </w:r>
      <w:bookmarkEnd w:id="111"/>
    </w:p>
    <w:p>
      <w:pPr>
        <w:snapToGrid w:val="0"/>
        <w:spacing w:beforeLines="50" w:line="360" w:lineRule="auto"/>
        <w:ind w:firstLine="560" w:firstLineChars="200"/>
        <w:rPr>
          <w:sz w:val="28"/>
          <w:szCs w:val="28"/>
        </w:rPr>
      </w:pPr>
      <w:r>
        <w:rPr>
          <w:rFonts w:hint="eastAsia"/>
          <w:sz w:val="28"/>
          <w:szCs w:val="28"/>
        </w:rPr>
        <w:t>根据2014年6月23日由国家质量技术监督局和中华人民共和国建设部联合发布、2015年5月1日起实施的中华人民共和国国家标准《防洪标准》(GB 50201-2014)，以乡村为主的防护区，应根据人口或耕地面积分为四个等级，各等级的防洪标准如表4.3.1.5.1-1。</w:t>
      </w:r>
    </w:p>
    <w:p>
      <w:pPr>
        <w:snapToGrid w:val="0"/>
        <w:spacing w:beforeLines="50" w:line="360" w:lineRule="auto"/>
        <w:rPr>
          <w:b/>
          <w:sz w:val="24"/>
          <w:szCs w:val="24"/>
        </w:rPr>
      </w:pPr>
      <w:r>
        <w:rPr>
          <w:b/>
          <w:szCs w:val="21"/>
        </w:rPr>
        <w:t>表</w:t>
      </w:r>
      <w:r>
        <w:rPr>
          <w:rFonts w:hint="eastAsia"/>
          <w:b/>
          <w:szCs w:val="21"/>
        </w:rPr>
        <w:t>4.3.1.5.1</w:t>
      </w:r>
      <w:r>
        <w:rPr>
          <w:b/>
          <w:szCs w:val="21"/>
        </w:rPr>
        <w:t>-</w:t>
      </w:r>
      <w:r>
        <w:rPr>
          <w:rFonts w:hint="eastAsia"/>
          <w:b/>
          <w:szCs w:val="21"/>
        </w:rPr>
        <w:t>1             乡村防护区</w:t>
      </w:r>
      <w:r>
        <w:rPr>
          <w:b/>
          <w:szCs w:val="21"/>
        </w:rPr>
        <w:t>的</w:t>
      </w:r>
      <w:r>
        <w:rPr>
          <w:rFonts w:hint="eastAsia"/>
          <w:b/>
          <w:szCs w:val="21"/>
        </w:rPr>
        <w:t>防护</w:t>
      </w:r>
      <w:r>
        <w:rPr>
          <w:b/>
          <w:szCs w:val="21"/>
        </w:rPr>
        <w:t>等级和防洪标准</w:t>
      </w:r>
    </w:p>
    <w:tbl>
      <w:tblPr>
        <w:tblStyle w:val="22"/>
        <w:tblW w:w="85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406"/>
        <w:gridCol w:w="2592"/>
        <w:gridCol w:w="2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863" w:type="dxa"/>
            <w:noWrap/>
            <w:vAlign w:val="center"/>
          </w:tcPr>
          <w:p>
            <w:pPr>
              <w:snapToGrid w:val="0"/>
              <w:spacing w:line="400" w:lineRule="exact"/>
              <w:jc w:val="center"/>
              <w:rPr>
                <w:szCs w:val="21"/>
              </w:rPr>
            </w:pPr>
            <w:r>
              <w:rPr>
                <w:szCs w:val="21"/>
              </w:rPr>
              <w:t>等级</w:t>
            </w:r>
          </w:p>
        </w:tc>
        <w:tc>
          <w:tcPr>
            <w:tcW w:w="2406" w:type="dxa"/>
            <w:noWrap/>
            <w:vAlign w:val="center"/>
          </w:tcPr>
          <w:p>
            <w:pPr>
              <w:snapToGrid w:val="0"/>
              <w:spacing w:line="400" w:lineRule="exact"/>
              <w:jc w:val="center"/>
              <w:rPr>
                <w:szCs w:val="21"/>
              </w:rPr>
            </w:pPr>
            <w:r>
              <w:rPr>
                <w:rFonts w:hint="eastAsia"/>
                <w:szCs w:val="21"/>
              </w:rPr>
              <w:t>人口(万人)</w:t>
            </w:r>
          </w:p>
        </w:tc>
        <w:tc>
          <w:tcPr>
            <w:tcW w:w="2592" w:type="dxa"/>
            <w:noWrap/>
            <w:vAlign w:val="center"/>
          </w:tcPr>
          <w:p>
            <w:pPr>
              <w:snapToGrid w:val="0"/>
              <w:spacing w:line="400" w:lineRule="exact"/>
              <w:jc w:val="center"/>
              <w:rPr>
                <w:rFonts w:eastAsia="宋体"/>
                <w:szCs w:val="21"/>
              </w:rPr>
            </w:pPr>
            <w:r>
              <w:rPr>
                <w:rFonts w:hint="eastAsia"/>
                <w:szCs w:val="21"/>
              </w:rPr>
              <w:t>耕地面积(万亩)</w:t>
            </w:r>
          </w:p>
        </w:tc>
        <w:tc>
          <w:tcPr>
            <w:tcW w:w="2679" w:type="dxa"/>
            <w:noWrap/>
            <w:vAlign w:val="center"/>
          </w:tcPr>
          <w:p>
            <w:pPr>
              <w:snapToGrid w:val="0"/>
              <w:spacing w:line="40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Ⅰ</w:t>
            </w:r>
          </w:p>
        </w:tc>
        <w:tc>
          <w:tcPr>
            <w:tcW w:w="2406" w:type="dxa"/>
            <w:noWrap/>
            <w:vAlign w:val="center"/>
          </w:tcPr>
          <w:p>
            <w:pPr>
              <w:snapToGrid w:val="0"/>
              <w:spacing w:line="400" w:lineRule="exact"/>
              <w:jc w:val="center"/>
              <w:rPr>
                <w:szCs w:val="21"/>
              </w:rPr>
            </w:pPr>
            <w:r>
              <w:rPr>
                <w:szCs w:val="21"/>
              </w:rPr>
              <w:t>&gt;150</w:t>
            </w:r>
          </w:p>
        </w:tc>
        <w:tc>
          <w:tcPr>
            <w:tcW w:w="2592" w:type="dxa"/>
            <w:noWrap/>
            <w:vAlign w:val="center"/>
          </w:tcPr>
          <w:p>
            <w:pPr>
              <w:snapToGrid w:val="0"/>
              <w:spacing w:line="400" w:lineRule="exact"/>
              <w:jc w:val="center"/>
              <w:rPr>
                <w:szCs w:val="21"/>
              </w:rPr>
            </w:pPr>
            <w:r>
              <w:rPr>
                <w:szCs w:val="21"/>
              </w:rPr>
              <w:t>&gt;</w:t>
            </w:r>
            <w:r>
              <w:rPr>
                <w:rFonts w:hint="eastAsia"/>
                <w:szCs w:val="21"/>
              </w:rPr>
              <w:t>30</w:t>
            </w:r>
            <w:r>
              <w:rPr>
                <w:szCs w:val="21"/>
              </w:rPr>
              <w:t>0</w:t>
            </w:r>
          </w:p>
        </w:tc>
        <w:tc>
          <w:tcPr>
            <w:tcW w:w="2679" w:type="dxa"/>
            <w:noWrap/>
            <w:vAlign w:val="center"/>
          </w:tcPr>
          <w:p>
            <w:pPr>
              <w:snapToGrid w:val="0"/>
              <w:spacing w:line="40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Ⅱ</w:t>
            </w:r>
          </w:p>
        </w:tc>
        <w:tc>
          <w:tcPr>
            <w:tcW w:w="2406" w:type="dxa"/>
            <w:noWrap/>
            <w:vAlign w:val="center"/>
          </w:tcPr>
          <w:p>
            <w:pPr>
              <w:snapToGrid w:val="0"/>
              <w:spacing w:line="400" w:lineRule="exact"/>
              <w:jc w:val="center"/>
              <w:rPr>
                <w:szCs w:val="21"/>
              </w:rPr>
            </w:pPr>
            <w:r>
              <w:rPr>
                <w:szCs w:val="21"/>
              </w:rPr>
              <w:t>50-</w:t>
            </w:r>
            <w:r>
              <w:rPr>
                <w:rFonts w:hint="eastAsia"/>
                <w:szCs w:val="21"/>
              </w:rPr>
              <w:t>1</w:t>
            </w:r>
            <w:r>
              <w:rPr>
                <w:szCs w:val="21"/>
              </w:rPr>
              <w:t>50</w:t>
            </w:r>
          </w:p>
        </w:tc>
        <w:tc>
          <w:tcPr>
            <w:tcW w:w="2592" w:type="dxa"/>
            <w:noWrap/>
            <w:vAlign w:val="center"/>
          </w:tcPr>
          <w:p>
            <w:pPr>
              <w:snapToGrid w:val="0"/>
              <w:spacing w:line="40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9" w:type="dxa"/>
            <w:noWrap/>
            <w:vAlign w:val="center"/>
          </w:tcPr>
          <w:p>
            <w:pPr>
              <w:snapToGrid w:val="0"/>
              <w:spacing w:line="40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863" w:type="dxa"/>
            <w:noWrap/>
            <w:vAlign w:val="center"/>
          </w:tcPr>
          <w:p>
            <w:pPr>
              <w:snapToGrid w:val="0"/>
              <w:spacing w:line="400" w:lineRule="exact"/>
              <w:jc w:val="center"/>
              <w:rPr>
                <w:szCs w:val="21"/>
              </w:rPr>
            </w:pPr>
            <w:r>
              <w:rPr>
                <w:szCs w:val="21"/>
              </w:rPr>
              <w:t>Ⅲ</w:t>
            </w:r>
          </w:p>
        </w:tc>
        <w:tc>
          <w:tcPr>
            <w:tcW w:w="2406" w:type="dxa"/>
            <w:noWrap/>
            <w:vAlign w:val="center"/>
          </w:tcPr>
          <w:p>
            <w:pPr>
              <w:snapToGrid w:val="0"/>
              <w:spacing w:line="400" w:lineRule="exact"/>
              <w:jc w:val="center"/>
              <w:rPr>
                <w:szCs w:val="21"/>
              </w:rPr>
            </w:pPr>
            <w:r>
              <w:rPr>
                <w:rFonts w:hint="eastAsia"/>
                <w:szCs w:val="21"/>
              </w:rPr>
              <w:t>2</w:t>
            </w:r>
            <w:r>
              <w:rPr>
                <w:szCs w:val="21"/>
              </w:rPr>
              <w:t>0-</w:t>
            </w:r>
            <w:r>
              <w:rPr>
                <w:rFonts w:hint="eastAsia"/>
                <w:szCs w:val="21"/>
              </w:rPr>
              <w:t>5</w:t>
            </w:r>
            <w:r>
              <w:rPr>
                <w:szCs w:val="21"/>
              </w:rPr>
              <w:t>0</w:t>
            </w:r>
          </w:p>
        </w:tc>
        <w:tc>
          <w:tcPr>
            <w:tcW w:w="2592" w:type="dxa"/>
            <w:noWrap/>
            <w:vAlign w:val="center"/>
          </w:tcPr>
          <w:p>
            <w:pPr>
              <w:snapToGrid w:val="0"/>
              <w:spacing w:line="400" w:lineRule="exact"/>
              <w:jc w:val="center"/>
              <w:rPr>
                <w:szCs w:val="21"/>
              </w:rPr>
            </w:pPr>
            <w:r>
              <w:rPr>
                <w:rFonts w:hint="eastAsia"/>
                <w:szCs w:val="21"/>
              </w:rPr>
              <w:t>3</w:t>
            </w:r>
            <w:r>
              <w:rPr>
                <w:szCs w:val="21"/>
              </w:rPr>
              <w:t>0-</w:t>
            </w:r>
            <w:r>
              <w:rPr>
                <w:rFonts w:hint="eastAsia"/>
                <w:szCs w:val="21"/>
              </w:rPr>
              <w:t>10</w:t>
            </w:r>
            <w:r>
              <w:rPr>
                <w:szCs w:val="21"/>
              </w:rPr>
              <w:t>0</w:t>
            </w:r>
          </w:p>
        </w:tc>
        <w:tc>
          <w:tcPr>
            <w:tcW w:w="2679" w:type="dxa"/>
            <w:noWrap/>
            <w:vAlign w:val="center"/>
          </w:tcPr>
          <w:p>
            <w:pPr>
              <w:snapToGrid w:val="0"/>
              <w:spacing w:line="40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63" w:type="dxa"/>
            <w:noWrap/>
            <w:vAlign w:val="center"/>
          </w:tcPr>
          <w:p>
            <w:pPr>
              <w:snapToGrid w:val="0"/>
              <w:spacing w:line="400" w:lineRule="exact"/>
              <w:jc w:val="center"/>
              <w:rPr>
                <w:szCs w:val="21"/>
              </w:rPr>
            </w:pPr>
            <w:r>
              <w:rPr>
                <w:szCs w:val="21"/>
              </w:rPr>
              <w:t>Ⅳ</w:t>
            </w:r>
          </w:p>
        </w:tc>
        <w:tc>
          <w:tcPr>
            <w:tcW w:w="2406" w:type="dxa"/>
            <w:noWrap/>
            <w:vAlign w:val="center"/>
          </w:tcPr>
          <w:p>
            <w:pPr>
              <w:snapToGrid w:val="0"/>
              <w:spacing w:line="400" w:lineRule="exact"/>
              <w:jc w:val="center"/>
              <w:rPr>
                <w:szCs w:val="21"/>
              </w:rPr>
            </w:pPr>
            <w:r>
              <w:rPr>
                <w:szCs w:val="21"/>
              </w:rPr>
              <w:t>&lt;20</w:t>
            </w:r>
          </w:p>
        </w:tc>
        <w:tc>
          <w:tcPr>
            <w:tcW w:w="2592" w:type="dxa"/>
            <w:noWrap/>
            <w:vAlign w:val="center"/>
          </w:tcPr>
          <w:p>
            <w:pPr>
              <w:snapToGrid w:val="0"/>
              <w:spacing w:line="400" w:lineRule="exact"/>
              <w:jc w:val="center"/>
              <w:rPr>
                <w:szCs w:val="21"/>
              </w:rPr>
            </w:pPr>
            <w:r>
              <w:rPr>
                <w:szCs w:val="21"/>
              </w:rPr>
              <w:t>&lt;</w:t>
            </w:r>
            <w:r>
              <w:rPr>
                <w:rFonts w:hint="eastAsia"/>
                <w:szCs w:val="21"/>
              </w:rPr>
              <w:t>3</w:t>
            </w:r>
            <w:r>
              <w:rPr>
                <w:szCs w:val="21"/>
              </w:rPr>
              <w:t>0</w:t>
            </w:r>
          </w:p>
        </w:tc>
        <w:tc>
          <w:tcPr>
            <w:tcW w:w="2679" w:type="dxa"/>
            <w:noWrap/>
            <w:vAlign w:val="center"/>
          </w:tcPr>
          <w:p>
            <w:pPr>
              <w:snapToGrid w:val="0"/>
              <w:spacing w:line="400" w:lineRule="exact"/>
              <w:jc w:val="center"/>
            </w:pPr>
            <w:r>
              <w:rPr>
                <w:rFonts w:hint="eastAsia"/>
                <w:szCs w:val="21"/>
              </w:rPr>
              <w:t>2</w:t>
            </w:r>
            <w:r>
              <w:rPr>
                <w:szCs w:val="21"/>
              </w:rPr>
              <w:t>0-</w:t>
            </w:r>
            <w:r>
              <w:rPr>
                <w:rFonts w:hint="eastAsia"/>
                <w:szCs w:val="21"/>
              </w:rPr>
              <w:t>1</w:t>
            </w:r>
            <w:r>
              <w:rPr>
                <w:szCs w:val="21"/>
              </w:rPr>
              <w:t>0</w:t>
            </w:r>
          </w:p>
        </w:tc>
      </w:tr>
    </w:tbl>
    <w:p>
      <w:pPr>
        <w:snapToGrid w:val="0"/>
        <w:spacing w:beforeLines="50" w:line="360" w:lineRule="auto"/>
        <w:ind w:firstLine="560" w:firstLineChars="200"/>
        <w:rPr>
          <w:sz w:val="28"/>
          <w:szCs w:val="28"/>
        </w:rPr>
      </w:pPr>
      <w:r>
        <w:rPr>
          <w:rFonts w:hint="eastAsia"/>
          <w:sz w:val="28"/>
          <w:szCs w:val="28"/>
        </w:rPr>
        <w:t>秀江道县河段沿岸经过乡村地段，由上表可知本河段范围内防洪标准为10年一遇。</w:t>
      </w:r>
    </w:p>
    <w:p>
      <w:pPr>
        <w:rPr>
          <w:rFonts w:hAnsi="宋体"/>
          <w:sz w:val="28"/>
          <w:szCs w:val="28"/>
        </w:rPr>
      </w:pPr>
      <w:r>
        <w:rPr>
          <w:rFonts w:hint="eastAsia" w:hAnsi="宋体"/>
          <w:sz w:val="28"/>
          <w:szCs w:val="28"/>
        </w:rPr>
        <w:t>秀江道县段控制流域面积相对较小，且该河段内没有较大支流汇入，</w:t>
      </w:r>
      <w:r>
        <w:rPr>
          <w:rFonts w:hint="eastAsia" w:cs="Times New Roman"/>
          <w:sz w:val="28"/>
          <w:szCs w:val="28"/>
        </w:rPr>
        <w:t>因此本次设计洪水计算不再进行河流分段。</w:t>
      </w:r>
      <w:r>
        <w:rPr>
          <w:rFonts w:hint="eastAsia"/>
          <w:sz w:val="28"/>
          <w:szCs w:val="28"/>
        </w:rPr>
        <w:t>本次计算河段</w:t>
      </w:r>
      <w:r>
        <w:rPr>
          <w:rFonts w:hint="eastAsia" w:hAnsi="宋体"/>
          <w:sz w:val="28"/>
          <w:szCs w:val="28"/>
        </w:rPr>
        <w:t>属于小流域，流域内没有水文测站资料，因此只能采用由设计暴雨推求设计洪水的计算方法。</w:t>
      </w:r>
    </w:p>
    <w:p>
      <w:pPr>
        <w:pStyle w:val="7"/>
        <w:spacing w:before="0" w:after="0" w:line="240" w:lineRule="auto"/>
        <w:ind w:left="0" w:firstLine="0"/>
      </w:pPr>
      <w:r>
        <w:rPr>
          <w:rFonts w:hint="eastAsia"/>
        </w:rPr>
        <w:t>暴雨及洪水特性</w:t>
      </w:r>
    </w:p>
    <w:p>
      <w:pPr>
        <w:snapToGrid w:val="0"/>
        <w:spacing w:beforeLines="50" w:line="360" w:lineRule="auto"/>
        <w:ind w:firstLine="560" w:firstLineChars="200"/>
        <w:rPr>
          <w:rFonts w:eastAsia="宋体"/>
          <w:sz w:val="28"/>
          <w:szCs w:val="28"/>
        </w:rPr>
      </w:pPr>
      <w:r>
        <w:rPr>
          <w:rFonts w:hint="eastAsia"/>
          <w:sz w:val="28"/>
          <w:szCs w:val="28"/>
        </w:rPr>
        <w:t>秀江</w:t>
      </w:r>
      <w:r>
        <w:rPr>
          <w:rFonts w:eastAsia="宋体"/>
          <w:sz w:val="28"/>
          <w:szCs w:val="28"/>
        </w:rPr>
        <w:t>流域</w:t>
      </w:r>
      <w:r>
        <w:rPr>
          <w:rFonts w:hAnsi="宋体" w:eastAsia="宋体"/>
          <w:sz w:val="28"/>
          <w:szCs w:val="28"/>
        </w:rPr>
        <w:t>主要受东南季风的影响，春夏之间雨量集中，秋季多旱，</w:t>
      </w:r>
      <w:r>
        <w:rPr>
          <w:rFonts w:eastAsia="宋体"/>
          <w:sz w:val="28"/>
          <w:szCs w:val="28"/>
        </w:rPr>
        <w:t>多年平均降水量为1514.5mm，其中4-6月份降水量最多，约占全年降水总量的46.5%</w:t>
      </w:r>
      <w:r>
        <w:rPr>
          <w:rFonts w:hint="eastAsia" w:eastAsia="宋体"/>
          <w:sz w:val="28"/>
          <w:szCs w:val="28"/>
        </w:rPr>
        <w:t>。</w:t>
      </w:r>
    </w:p>
    <w:p>
      <w:pPr>
        <w:snapToGrid w:val="0"/>
        <w:spacing w:beforeLines="50" w:line="360" w:lineRule="auto"/>
        <w:ind w:firstLine="560" w:firstLineChars="200"/>
        <w:rPr>
          <w:rFonts w:eastAsia="宋体"/>
          <w:sz w:val="28"/>
          <w:szCs w:val="28"/>
        </w:rPr>
      </w:pPr>
      <w:r>
        <w:rPr>
          <w:rFonts w:hint="eastAsia"/>
          <w:sz w:val="28"/>
          <w:szCs w:val="28"/>
        </w:rPr>
        <w:t>秀江</w:t>
      </w:r>
      <w:r>
        <w:rPr>
          <w:rFonts w:eastAsia="宋体"/>
          <w:sz w:val="28"/>
          <w:szCs w:val="28"/>
        </w:rPr>
        <w:t>流域暴雨集中、强度大，故春夏易发生山洪，其洪水特性是汇流集中快、历时短、变化大。暴雨在4～7月为锋面暴雨，8月为台风暴雨，前者降雨的天气系统在高空为低槽、低涡，中层为低涡切变，地面为冷锋、静止锋，暴雨的走向多由北向南、由西向东，后者降雨的天气系统为台风或减弱了的热低压，暴雨的走向多由东向西或由东南向西北。</w:t>
      </w:r>
    </w:p>
    <w:p>
      <w:pPr>
        <w:pStyle w:val="7"/>
        <w:spacing w:before="0" w:after="0" w:line="240" w:lineRule="auto"/>
        <w:ind w:left="0" w:firstLine="0"/>
      </w:pPr>
      <w:bookmarkStart w:id="112" w:name="_Toc21139"/>
      <w:r>
        <w:t>设计暴雨计算</w:t>
      </w:r>
      <w:bookmarkEnd w:id="112"/>
    </w:p>
    <w:p>
      <w:pPr>
        <w:adjustRightInd w:val="0"/>
        <w:snapToGrid w:val="0"/>
        <w:spacing w:beforeLines="50" w:line="360" w:lineRule="auto"/>
        <w:ind w:firstLine="560" w:firstLineChars="200"/>
        <w:rPr>
          <w:rFonts w:hAnsi="宋体" w:eastAsia="宋体"/>
          <w:bCs/>
          <w:sz w:val="24"/>
        </w:rPr>
      </w:pPr>
      <w:r>
        <w:rPr>
          <w:rFonts w:ascii="Times New Roman" w:hAnsi="Times New Roman" w:eastAsia="宋体" w:cs="Times New Roman"/>
          <w:bCs/>
          <w:sz w:val="28"/>
          <w:szCs w:val="28"/>
        </w:rPr>
        <w:t>由于</w:t>
      </w:r>
      <w:r>
        <w:rPr>
          <w:rFonts w:hint="eastAsia" w:cs="Times New Roman"/>
          <w:bCs/>
          <w:sz w:val="28"/>
          <w:szCs w:val="28"/>
        </w:rPr>
        <w:t>秀江</w:t>
      </w:r>
      <w:r>
        <w:rPr>
          <w:rFonts w:ascii="Times New Roman" w:hAnsi="Times New Roman" w:eastAsia="宋体" w:cs="Times New Roman"/>
          <w:bCs/>
          <w:sz w:val="28"/>
          <w:szCs w:val="28"/>
        </w:rPr>
        <w:t>流域内没有实测的水文资料，设计暴雨采用</w:t>
      </w:r>
      <w:r>
        <w:rPr>
          <w:rFonts w:ascii="Times New Roman" w:hAnsi="Times New Roman" w:eastAsia="宋体" w:cs="Times New Roman"/>
          <w:sz w:val="28"/>
          <w:szCs w:val="28"/>
        </w:rPr>
        <w:t>《湖南省暴雨洪水查算手册》</w:t>
      </w:r>
      <w:r>
        <w:rPr>
          <w:rFonts w:ascii="Times New Roman" w:hAnsi="Times New Roman" w:cs="Times New Roman"/>
          <w:sz w:val="28"/>
          <w:szCs w:val="28"/>
        </w:rPr>
        <w:t>（2015版）</w:t>
      </w:r>
      <w:r>
        <w:rPr>
          <w:rFonts w:ascii="Times New Roman" w:hAnsi="Times New Roman" w:eastAsia="宋体" w:cs="Times New Roman"/>
          <w:sz w:val="28"/>
          <w:szCs w:val="28"/>
        </w:rPr>
        <w:t>中等值线图，根据工程所在地理位置查得：项目区平均最大二十四小时暴雨量均1</w:t>
      </w:r>
      <w:r>
        <w:rPr>
          <w:rFonts w:hint="eastAsia" w:cs="Times New Roman"/>
          <w:sz w:val="28"/>
          <w:szCs w:val="28"/>
        </w:rPr>
        <w:t>2</w:t>
      </w:r>
      <w:r>
        <w:rPr>
          <w:rFonts w:ascii="Times New Roman" w:hAnsi="Times New Roman" w:eastAsia="宋体" w:cs="Times New Roman"/>
          <w:sz w:val="28"/>
          <w:szCs w:val="28"/>
        </w:rPr>
        <w:t>0mm，</w:t>
      </w:r>
      <w:r>
        <w:rPr>
          <w:rFonts w:eastAsia="宋体"/>
          <w:sz w:val="28"/>
          <w:szCs w:val="28"/>
        </w:rPr>
        <w:t>C</w:t>
      </w:r>
      <w:r>
        <w:rPr>
          <w:rFonts w:eastAsia="宋体"/>
          <w:sz w:val="28"/>
          <w:szCs w:val="28"/>
          <w:vertAlign w:val="subscript"/>
        </w:rPr>
        <w:t>v</w:t>
      </w:r>
      <w:r>
        <w:rPr>
          <w:rFonts w:eastAsia="宋体"/>
          <w:sz w:val="28"/>
          <w:szCs w:val="28"/>
        </w:rPr>
        <w:t>=0.</w:t>
      </w:r>
      <w:r>
        <w:rPr>
          <w:rFonts w:hint="eastAsia"/>
          <w:sz w:val="28"/>
          <w:szCs w:val="28"/>
        </w:rPr>
        <w:t>40</w:t>
      </w:r>
      <w:r>
        <w:rPr>
          <w:rFonts w:hAnsi="宋体" w:eastAsia="宋体"/>
          <w:sz w:val="28"/>
          <w:szCs w:val="28"/>
        </w:rPr>
        <w:t>，</w:t>
      </w:r>
      <w:r>
        <w:rPr>
          <w:rFonts w:eastAsia="宋体"/>
          <w:sz w:val="28"/>
          <w:szCs w:val="28"/>
        </w:rPr>
        <w:t>C</w:t>
      </w:r>
      <w:r>
        <w:rPr>
          <w:rFonts w:eastAsia="宋体"/>
          <w:sz w:val="28"/>
          <w:szCs w:val="28"/>
          <w:vertAlign w:val="subscript"/>
        </w:rPr>
        <w:t>s</w:t>
      </w:r>
      <w:r>
        <w:rPr>
          <w:rFonts w:eastAsia="宋体"/>
          <w:sz w:val="28"/>
          <w:szCs w:val="28"/>
        </w:rPr>
        <w:t>/C</w:t>
      </w:r>
      <w:r>
        <w:rPr>
          <w:rFonts w:eastAsia="宋体"/>
          <w:sz w:val="28"/>
          <w:szCs w:val="28"/>
          <w:vertAlign w:val="subscript"/>
        </w:rPr>
        <w:t>v</w:t>
      </w:r>
      <w:r>
        <w:rPr>
          <w:rFonts w:eastAsia="宋体"/>
          <w:sz w:val="28"/>
          <w:szCs w:val="28"/>
        </w:rPr>
        <w:t>=3.5</w:t>
      </w:r>
      <w:r>
        <w:rPr>
          <w:rFonts w:hAnsi="宋体" w:eastAsia="宋体"/>
          <w:sz w:val="28"/>
          <w:szCs w:val="28"/>
        </w:rPr>
        <w:t>。</w:t>
      </w:r>
      <w:r>
        <w:rPr>
          <w:rFonts w:hint="eastAsia" w:hAnsi="宋体" w:eastAsia="宋体"/>
          <w:sz w:val="28"/>
          <w:szCs w:val="28"/>
        </w:rPr>
        <w:t>由统计参数计算的设计24h点暴雨量成果如表</w:t>
      </w:r>
      <w:r>
        <w:rPr>
          <w:rFonts w:hint="eastAsia" w:hAnsi="宋体"/>
          <w:bCs/>
          <w:sz w:val="28"/>
          <w:szCs w:val="28"/>
        </w:rPr>
        <w:t>4.3.1.5.3-1</w:t>
      </w:r>
      <w:r>
        <w:rPr>
          <w:rFonts w:hAnsi="宋体" w:eastAsia="宋体"/>
          <w:bCs/>
          <w:sz w:val="28"/>
          <w:szCs w:val="28"/>
        </w:rPr>
        <w:t>。</w:t>
      </w:r>
    </w:p>
    <w:p>
      <w:pPr>
        <w:adjustRightInd w:val="0"/>
        <w:snapToGrid w:val="0"/>
        <w:spacing w:beforeLines="50" w:line="360" w:lineRule="auto"/>
        <w:rPr>
          <w:rFonts w:eastAsia="宋体"/>
          <w:b/>
          <w:bCs/>
          <w:sz w:val="24"/>
        </w:rPr>
      </w:pPr>
      <w:r>
        <w:rPr>
          <w:rFonts w:hAnsi="宋体" w:eastAsia="宋体"/>
          <w:b/>
          <w:bCs/>
          <w:szCs w:val="21"/>
        </w:rPr>
        <w:t>表</w:t>
      </w:r>
      <w:r>
        <w:rPr>
          <w:rFonts w:hint="eastAsia" w:hAnsi="宋体" w:eastAsia="宋体"/>
          <w:b/>
          <w:bCs/>
          <w:szCs w:val="21"/>
        </w:rPr>
        <w:t xml:space="preserve">4.3.1.5.3-1                   </w:t>
      </w:r>
      <w:r>
        <w:rPr>
          <w:rFonts w:hAnsi="宋体" w:eastAsia="宋体"/>
          <w:b/>
          <w:bCs/>
          <w:szCs w:val="21"/>
        </w:rPr>
        <w:t>最大</w:t>
      </w:r>
      <w:r>
        <w:rPr>
          <w:rFonts w:eastAsia="宋体"/>
          <w:b/>
          <w:bCs/>
          <w:szCs w:val="21"/>
        </w:rPr>
        <w:t>24h</w:t>
      </w:r>
      <w:r>
        <w:rPr>
          <w:rFonts w:hAnsi="宋体" w:eastAsia="宋体"/>
          <w:b/>
          <w:bCs/>
          <w:szCs w:val="21"/>
        </w:rPr>
        <w:t>暴雨参数表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46"/>
        <w:gridCol w:w="1149"/>
        <w:gridCol w:w="1200"/>
        <w:gridCol w:w="1021"/>
        <w:gridCol w:w="996"/>
        <w:gridCol w:w="998"/>
        <w:gridCol w:w="996"/>
        <w:gridCol w:w="9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trPr>
        <w:tc>
          <w:tcPr>
            <w:tcW w:w="1046" w:type="dxa"/>
            <w:vMerge w:val="restart"/>
            <w:noWrap/>
            <w:vAlign w:val="center"/>
          </w:tcPr>
          <w:p>
            <w:pPr>
              <w:adjustRightInd w:val="0"/>
              <w:snapToGrid w:val="0"/>
              <w:jc w:val="center"/>
              <w:rPr>
                <w:rFonts w:eastAsia="宋体"/>
                <w:szCs w:val="21"/>
              </w:rPr>
            </w:pPr>
            <w:r>
              <w:rPr>
                <w:rFonts w:hAnsi="宋体" w:eastAsia="宋体"/>
                <w:szCs w:val="21"/>
              </w:rPr>
              <w:t>项目名称</w:t>
            </w:r>
          </w:p>
        </w:tc>
        <w:tc>
          <w:tcPr>
            <w:tcW w:w="3370" w:type="dxa"/>
            <w:gridSpan w:val="3"/>
            <w:noWrap/>
            <w:vAlign w:val="center"/>
          </w:tcPr>
          <w:p>
            <w:pPr>
              <w:adjustRightInd w:val="0"/>
              <w:snapToGrid w:val="0"/>
              <w:jc w:val="center"/>
              <w:rPr>
                <w:rFonts w:eastAsia="宋体"/>
                <w:szCs w:val="21"/>
              </w:rPr>
            </w:pPr>
            <w:r>
              <w:rPr>
                <w:rFonts w:hAnsi="宋体" w:eastAsia="宋体"/>
                <w:szCs w:val="21"/>
              </w:rPr>
              <w:t>暴雨参数</w:t>
            </w:r>
          </w:p>
        </w:tc>
        <w:tc>
          <w:tcPr>
            <w:tcW w:w="3984" w:type="dxa"/>
            <w:gridSpan w:val="4"/>
            <w:noWrap/>
            <w:vAlign w:val="center"/>
          </w:tcPr>
          <w:p>
            <w:pPr>
              <w:adjustRightInd w:val="0"/>
              <w:snapToGrid w:val="0"/>
              <w:jc w:val="center"/>
              <w:rPr>
                <w:rFonts w:eastAsia="宋体"/>
                <w:szCs w:val="21"/>
              </w:rPr>
            </w:pPr>
            <w:r>
              <w:rPr>
                <w:rFonts w:hAnsi="宋体" w:eastAsia="宋体"/>
                <w:szCs w:val="21"/>
              </w:rPr>
              <w:t>设计暴雨量（</w:t>
            </w:r>
            <w:r>
              <w:rPr>
                <w:rFonts w:eastAsia="宋体"/>
                <w:szCs w:val="21"/>
              </w:rPr>
              <w:t>mm</w:t>
            </w:r>
            <w:r>
              <w:rPr>
                <w:rFonts w:hAnsi="宋体" w:eastAsia="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3" w:hRule="atLeast"/>
        </w:trPr>
        <w:tc>
          <w:tcPr>
            <w:tcW w:w="1046" w:type="dxa"/>
            <w:vMerge w:val="continue"/>
            <w:noWrap/>
            <w:vAlign w:val="center"/>
          </w:tcPr>
          <w:p>
            <w:pPr>
              <w:adjustRightInd w:val="0"/>
              <w:snapToGrid w:val="0"/>
              <w:jc w:val="center"/>
              <w:rPr>
                <w:rFonts w:eastAsia="宋体"/>
                <w:szCs w:val="21"/>
              </w:rPr>
            </w:pPr>
          </w:p>
        </w:tc>
        <w:tc>
          <w:tcPr>
            <w:tcW w:w="1149" w:type="dxa"/>
            <w:noWrap/>
            <w:vAlign w:val="center"/>
          </w:tcPr>
          <w:p>
            <w:pPr>
              <w:adjustRightInd w:val="0"/>
              <w:snapToGrid w:val="0"/>
              <w:jc w:val="center"/>
              <w:rPr>
                <w:rFonts w:eastAsia="宋体"/>
                <w:szCs w:val="21"/>
              </w:rPr>
            </w:pPr>
            <w:r>
              <w:rPr>
                <w:rFonts w:hAnsi="宋体" w:eastAsia="宋体"/>
                <w:szCs w:val="21"/>
              </w:rPr>
              <w:t>均值（</w:t>
            </w:r>
            <w:r>
              <w:rPr>
                <w:rFonts w:eastAsia="宋体"/>
                <w:szCs w:val="21"/>
              </w:rPr>
              <w:t>mm</w:t>
            </w:r>
            <w:r>
              <w:rPr>
                <w:rFonts w:hAnsi="宋体" w:eastAsia="宋体"/>
                <w:szCs w:val="21"/>
              </w:rPr>
              <w:t>）</w:t>
            </w:r>
          </w:p>
        </w:tc>
        <w:tc>
          <w:tcPr>
            <w:tcW w:w="1200"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v</w:t>
            </w:r>
          </w:p>
        </w:tc>
        <w:tc>
          <w:tcPr>
            <w:tcW w:w="1021"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/C</w:t>
            </w:r>
            <w:r>
              <w:rPr>
                <w:rFonts w:eastAsia="宋体"/>
                <w:szCs w:val="21"/>
                <w:vertAlign w:val="subscript"/>
              </w:rPr>
              <w:t>v</w:t>
            </w:r>
          </w:p>
        </w:tc>
        <w:tc>
          <w:tcPr>
            <w:tcW w:w="996" w:type="dxa"/>
            <w:noWrap/>
            <w:vAlign w:val="center"/>
          </w:tcPr>
          <w:p>
            <w:pPr>
              <w:adjustRightInd w:val="0"/>
              <w:snapToGrid w:val="0"/>
              <w:jc w:val="center"/>
              <w:rPr>
                <w:rFonts w:eastAsia="宋体"/>
                <w:szCs w:val="21"/>
              </w:rPr>
            </w:pPr>
            <w:r>
              <w:rPr>
                <w:rFonts w:eastAsia="宋体"/>
                <w:szCs w:val="21"/>
              </w:rPr>
              <w:t>P=1%</w:t>
            </w:r>
          </w:p>
        </w:tc>
        <w:tc>
          <w:tcPr>
            <w:tcW w:w="998" w:type="dxa"/>
            <w:noWrap/>
            <w:vAlign w:val="center"/>
          </w:tcPr>
          <w:p>
            <w:pPr>
              <w:adjustRightInd w:val="0"/>
              <w:snapToGrid w:val="0"/>
              <w:jc w:val="center"/>
              <w:rPr>
                <w:rFonts w:eastAsia="宋体"/>
                <w:szCs w:val="21"/>
              </w:rPr>
            </w:pPr>
            <w:r>
              <w:rPr>
                <w:rFonts w:eastAsia="宋体"/>
                <w:szCs w:val="21"/>
              </w:rPr>
              <w:t>P=2%</w:t>
            </w:r>
          </w:p>
        </w:tc>
        <w:tc>
          <w:tcPr>
            <w:tcW w:w="996" w:type="dxa"/>
            <w:noWrap/>
            <w:vAlign w:val="center"/>
          </w:tcPr>
          <w:p>
            <w:pPr>
              <w:adjustRightInd w:val="0"/>
              <w:snapToGrid w:val="0"/>
              <w:jc w:val="center"/>
              <w:rPr>
                <w:rFonts w:eastAsia="宋体"/>
                <w:szCs w:val="21"/>
              </w:rPr>
            </w:pPr>
            <w:r>
              <w:rPr>
                <w:rFonts w:eastAsia="宋体"/>
                <w:szCs w:val="21"/>
              </w:rPr>
              <w:t>P=5%</w:t>
            </w:r>
          </w:p>
        </w:tc>
        <w:tc>
          <w:tcPr>
            <w:tcW w:w="994" w:type="dxa"/>
            <w:noWrap/>
            <w:vAlign w:val="center"/>
          </w:tcPr>
          <w:p>
            <w:pPr>
              <w:adjustRightInd w:val="0"/>
              <w:snapToGrid w:val="0"/>
              <w:jc w:val="center"/>
              <w:rPr>
                <w:rFonts w:eastAsia="宋体"/>
                <w:szCs w:val="21"/>
              </w:rPr>
            </w:pPr>
            <w:r>
              <w:rPr>
                <w:rFonts w:eastAsia="宋体"/>
                <w:szCs w:val="21"/>
              </w:rPr>
              <w:t>P=10%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rPr>
        <w:tc>
          <w:tcPr>
            <w:tcW w:w="1046" w:type="dxa"/>
            <w:noWrap/>
            <w:vAlign w:val="center"/>
          </w:tcPr>
          <w:p>
            <w:pPr>
              <w:adjustRightInd w:val="0"/>
              <w:snapToGrid w:val="0"/>
              <w:jc w:val="center"/>
              <w:rPr>
                <w:rFonts w:eastAsia="宋体"/>
                <w:szCs w:val="21"/>
              </w:rPr>
            </w:pPr>
            <w:r>
              <w:rPr>
                <w:rFonts w:hAnsi="宋体" w:eastAsia="宋体"/>
                <w:szCs w:val="21"/>
              </w:rPr>
              <w:t>暴雨手册</w:t>
            </w:r>
          </w:p>
        </w:tc>
        <w:tc>
          <w:tcPr>
            <w:tcW w:w="1149" w:type="dxa"/>
            <w:noWrap/>
            <w:vAlign w:val="center"/>
          </w:tcPr>
          <w:p>
            <w:pPr>
              <w:adjustRightInd w:val="0"/>
              <w:snapToGrid w:val="0"/>
              <w:jc w:val="center"/>
              <w:rPr>
                <w:rFonts w:eastAsia="宋体"/>
                <w:szCs w:val="21"/>
              </w:rPr>
            </w:pPr>
            <w:r>
              <w:rPr>
                <w:rFonts w:eastAsia="宋体"/>
                <w:szCs w:val="21"/>
              </w:rPr>
              <w:t>1</w:t>
            </w:r>
            <w:r>
              <w:rPr>
                <w:rFonts w:hint="eastAsia"/>
                <w:szCs w:val="21"/>
              </w:rPr>
              <w:t>2</w:t>
            </w:r>
            <w:r>
              <w:rPr>
                <w:rFonts w:hint="eastAsia" w:eastAsia="宋体"/>
                <w:szCs w:val="21"/>
              </w:rPr>
              <w:t>0.0</w:t>
            </w:r>
          </w:p>
        </w:tc>
        <w:tc>
          <w:tcPr>
            <w:tcW w:w="1200" w:type="dxa"/>
            <w:noWrap/>
            <w:vAlign w:val="center"/>
          </w:tcPr>
          <w:p>
            <w:pPr>
              <w:adjustRightInd w:val="0"/>
              <w:snapToGrid w:val="0"/>
              <w:jc w:val="center"/>
              <w:rPr>
                <w:rFonts w:eastAsia="宋体"/>
                <w:szCs w:val="21"/>
              </w:rPr>
            </w:pPr>
            <w:r>
              <w:rPr>
                <w:rFonts w:eastAsia="宋体"/>
                <w:szCs w:val="21"/>
              </w:rPr>
              <w:t>0.</w:t>
            </w:r>
            <w:r>
              <w:rPr>
                <w:rFonts w:hint="eastAsia"/>
                <w:szCs w:val="21"/>
              </w:rPr>
              <w:t>40</w:t>
            </w:r>
          </w:p>
        </w:tc>
        <w:tc>
          <w:tcPr>
            <w:tcW w:w="1021" w:type="dxa"/>
            <w:noWrap/>
            <w:vAlign w:val="center"/>
          </w:tcPr>
          <w:p>
            <w:pPr>
              <w:adjustRightInd w:val="0"/>
              <w:snapToGrid w:val="0"/>
              <w:jc w:val="center"/>
              <w:rPr>
                <w:rFonts w:eastAsia="宋体"/>
                <w:szCs w:val="21"/>
              </w:rPr>
            </w:pPr>
            <w:r>
              <w:rPr>
                <w:rFonts w:eastAsia="宋体"/>
                <w:szCs w:val="21"/>
              </w:rPr>
              <w:t>3.5</w:t>
            </w:r>
          </w:p>
        </w:tc>
        <w:tc>
          <w:tcPr>
            <w:tcW w:w="996" w:type="dxa"/>
            <w:noWrap/>
            <w:vAlign w:val="center"/>
          </w:tcPr>
          <w:p>
            <w:pPr>
              <w:adjustRightInd w:val="0"/>
              <w:snapToGrid w:val="0"/>
              <w:jc w:val="center"/>
              <w:rPr>
                <w:rFonts w:eastAsia="宋体"/>
                <w:szCs w:val="21"/>
              </w:rPr>
            </w:pPr>
            <w:r>
              <w:rPr>
                <w:rFonts w:eastAsia="宋体"/>
                <w:szCs w:val="21"/>
              </w:rPr>
              <w:t>2</w:t>
            </w:r>
            <w:r>
              <w:rPr>
                <w:rFonts w:hint="eastAsia"/>
                <w:szCs w:val="21"/>
              </w:rPr>
              <w:t>77.2</w:t>
            </w:r>
          </w:p>
        </w:tc>
        <w:tc>
          <w:tcPr>
            <w:tcW w:w="998" w:type="dxa"/>
            <w:noWrap/>
            <w:vAlign w:val="center"/>
          </w:tcPr>
          <w:p>
            <w:pPr>
              <w:adjustRightInd w:val="0"/>
              <w:snapToGrid w:val="0"/>
              <w:jc w:val="center"/>
              <w:rPr>
                <w:rFonts w:eastAsia="宋体"/>
                <w:szCs w:val="21"/>
              </w:rPr>
            </w:pPr>
            <w:r>
              <w:rPr>
                <w:rFonts w:hint="eastAsia"/>
                <w:szCs w:val="21"/>
              </w:rPr>
              <w:t>249.6</w:t>
            </w:r>
          </w:p>
        </w:tc>
        <w:tc>
          <w:tcPr>
            <w:tcW w:w="996" w:type="dxa"/>
            <w:noWrap/>
            <w:vAlign w:val="center"/>
          </w:tcPr>
          <w:p>
            <w:pPr>
              <w:adjustRightInd w:val="0"/>
              <w:snapToGrid w:val="0"/>
              <w:jc w:val="center"/>
              <w:rPr>
                <w:rFonts w:eastAsia="宋体"/>
                <w:szCs w:val="21"/>
              </w:rPr>
            </w:pPr>
            <w:r>
              <w:rPr>
                <w:rFonts w:hint="eastAsia"/>
                <w:szCs w:val="21"/>
              </w:rPr>
              <w:t>213.6</w:t>
            </w:r>
          </w:p>
        </w:tc>
        <w:tc>
          <w:tcPr>
            <w:tcW w:w="994" w:type="dxa"/>
            <w:noWrap/>
            <w:vAlign w:val="center"/>
          </w:tcPr>
          <w:p>
            <w:pPr>
              <w:adjustRightInd w:val="0"/>
              <w:snapToGrid w:val="0"/>
              <w:jc w:val="center"/>
              <w:rPr>
                <w:rFonts w:eastAsia="宋体"/>
                <w:szCs w:val="21"/>
              </w:rPr>
            </w:pPr>
            <w:r>
              <w:rPr>
                <w:rFonts w:eastAsia="宋体"/>
                <w:szCs w:val="21"/>
              </w:rPr>
              <w:t>1</w:t>
            </w:r>
            <w:r>
              <w:rPr>
                <w:rFonts w:hint="eastAsia"/>
                <w:szCs w:val="21"/>
              </w:rPr>
              <w:t>83.6</w:t>
            </w:r>
          </w:p>
        </w:tc>
      </w:tr>
    </w:tbl>
    <w:p>
      <w:pPr>
        <w:pStyle w:val="7"/>
        <w:spacing w:before="0" w:after="0" w:line="240" w:lineRule="auto"/>
        <w:ind w:left="0" w:firstLine="0"/>
      </w:pPr>
      <w:bookmarkStart w:id="113" w:name="_Toc3641"/>
      <w:r>
        <w:rPr>
          <w:rFonts w:hint="eastAsia"/>
        </w:rPr>
        <w:t>设计净雨计算</w:t>
      </w:r>
      <w:bookmarkEnd w:id="113"/>
    </w:p>
    <w:p>
      <w:pPr>
        <w:autoSpaceDE w:val="0"/>
        <w:autoSpaceDN w:val="0"/>
        <w:adjustRightInd w:val="0"/>
        <w:spacing w:beforeLines="50" w:line="360" w:lineRule="auto"/>
        <w:ind w:firstLine="560" w:firstLineChars="200"/>
        <w:rPr>
          <w:rFonts w:eastAsia="宋体"/>
          <w:sz w:val="28"/>
          <w:szCs w:val="28"/>
        </w:rPr>
      </w:pPr>
      <w:r>
        <w:rPr>
          <w:rFonts w:hAnsi="宋体" w:eastAsia="宋体"/>
          <w:sz w:val="28"/>
          <w:szCs w:val="28"/>
          <w:lang w:val="zh-CN"/>
        </w:rPr>
        <w:t>根据《湖南省暴雨洪水查算手册》知本次项目区属暴雨一致区第</w:t>
      </w:r>
      <w:r>
        <w:rPr>
          <w:rFonts w:eastAsia="宋体"/>
          <w:sz w:val="28"/>
          <w:szCs w:val="28"/>
        </w:rPr>
        <w:t>3</w:t>
      </w:r>
      <w:r>
        <w:rPr>
          <w:rFonts w:hAnsi="宋体" w:eastAsia="宋体"/>
          <w:sz w:val="28"/>
          <w:szCs w:val="28"/>
          <w:lang w:val="zh-CN"/>
        </w:rPr>
        <w:t>区，依据集雨面积，查得其相应的点面关系系数，由此可得</w:t>
      </w:r>
      <w:r>
        <w:rPr>
          <w:rFonts w:hint="eastAsia" w:hAnsi="宋体"/>
          <w:sz w:val="28"/>
          <w:szCs w:val="28"/>
        </w:rPr>
        <w:t>20年和</w:t>
      </w:r>
      <w:r>
        <w:rPr>
          <w:rFonts w:eastAsia="宋体"/>
          <w:sz w:val="28"/>
          <w:szCs w:val="28"/>
        </w:rPr>
        <w:t>10</w:t>
      </w:r>
      <w:r>
        <w:rPr>
          <w:rFonts w:hAnsi="宋体" w:eastAsia="宋体"/>
          <w:sz w:val="28"/>
          <w:szCs w:val="28"/>
          <w:lang w:val="zh-CN"/>
        </w:rPr>
        <w:t>年一遇</w:t>
      </w:r>
      <w:r>
        <w:rPr>
          <w:rFonts w:eastAsia="宋体"/>
          <w:sz w:val="28"/>
          <w:szCs w:val="28"/>
        </w:rPr>
        <w:t>24h</w:t>
      </w:r>
      <w:r>
        <w:rPr>
          <w:rFonts w:hAnsi="宋体" w:eastAsia="宋体"/>
          <w:sz w:val="28"/>
          <w:szCs w:val="28"/>
          <w:lang w:val="zh-CN"/>
        </w:rPr>
        <w:t>面暴雨量。</w:t>
      </w:r>
    </w:p>
    <w:p>
      <w:pPr>
        <w:autoSpaceDE w:val="0"/>
        <w:autoSpaceDN w:val="0"/>
        <w:adjustRightInd w:val="0"/>
        <w:spacing w:beforeLines="50" w:line="360" w:lineRule="auto"/>
        <w:ind w:firstLine="560" w:firstLineChars="200"/>
        <w:rPr>
          <w:rFonts w:eastAsia="宋体"/>
          <w:sz w:val="28"/>
          <w:szCs w:val="28"/>
        </w:rPr>
      </w:pPr>
      <w:r>
        <w:rPr>
          <w:rFonts w:hAnsi="宋体" w:eastAsia="宋体"/>
          <w:sz w:val="28"/>
          <w:szCs w:val="28"/>
          <w:lang w:val="zh-CN"/>
        </w:rPr>
        <w:t>由</w:t>
      </w:r>
      <w:r>
        <w:rPr>
          <w:rFonts w:eastAsia="宋体"/>
          <w:sz w:val="28"/>
          <w:szCs w:val="28"/>
        </w:rPr>
        <w:t>24h</w:t>
      </w:r>
      <w:r>
        <w:rPr>
          <w:rFonts w:hAnsi="宋体" w:eastAsia="宋体"/>
          <w:sz w:val="28"/>
          <w:szCs w:val="28"/>
          <w:lang w:val="zh-CN"/>
        </w:rPr>
        <w:t>设计面暴雨量推求短历时设计暴雨量，参照《湖南省暴雨洪水查算手册》，最大</w:t>
      </w:r>
      <w:r>
        <w:rPr>
          <w:rFonts w:eastAsia="宋体"/>
          <w:sz w:val="28"/>
          <w:szCs w:val="28"/>
        </w:rPr>
        <w:t>1</w:t>
      </w:r>
      <w:r>
        <w:rPr>
          <w:rFonts w:hAnsi="宋体" w:eastAsia="宋体"/>
          <w:sz w:val="28"/>
          <w:szCs w:val="28"/>
          <w:lang w:val="zh-CN"/>
        </w:rPr>
        <w:t>～</w:t>
      </w:r>
      <w:r>
        <w:rPr>
          <w:rFonts w:eastAsia="宋体"/>
          <w:sz w:val="28"/>
          <w:szCs w:val="28"/>
        </w:rPr>
        <w:t>6</w:t>
      </w:r>
      <w:r>
        <w:rPr>
          <w:rFonts w:hAnsi="宋体" w:eastAsia="宋体"/>
          <w:sz w:val="28"/>
          <w:szCs w:val="28"/>
          <w:lang w:val="zh-CN"/>
        </w:rPr>
        <w:t>小时暴雨的时程分配公式为：</w:t>
      </w:r>
    </w:p>
    <w:p>
      <w:pPr>
        <w:autoSpaceDE w:val="0"/>
        <w:autoSpaceDN w:val="0"/>
        <w:adjustRightInd w:val="0"/>
        <w:spacing w:beforeLines="50" w:line="360" w:lineRule="auto"/>
        <w:ind w:firstLine="560" w:firstLineChars="200"/>
        <w:rPr>
          <w:rFonts w:eastAsia="宋体"/>
          <w:sz w:val="28"/>
          <w:szCs w:val="28"/>
        </w:rPr>
      </w:pPr>
      <w:r>
        <w:rPr>
          <w:rFonts w:eastAsia="宋体"/>
          <w:sz w:val="28"/>
          <w:szCs w:val="28"/>
        </w:rPr>
        <w:t>H</w:t>
      </w:r>
      <w:r>
        <w:rPr>
          <w:rFonts w:eastAsia="宋体"/>
          <w:sz w:val="28"/>
          <w:szCs w:val="28"/>
          <w:vertAlign w:val="subscript"/>
        </w:rPr>
        <w:t>t</w:t>
      </w:r>
      <w:r>
        <w:rPr>
          <w:rFonts w:eastAsia="宋体"/>
          <w:sz w:val="28"/>
          <w:szCs w:val="28"/>
        </w:rPr>
        <w:t>=H</w:t>
      </w:r>
      <w:r>
        <w:rPr>
          <w:rFonts w:eastAsia="宋体"/>
          <w:sz w:val="28"/>
          <w:szCs w:val="28"/>
          <w:vertAlign w:val="subscript"/>
        </w:rPr>
        <w:t>24</w:t>
      </w:r>
      <w:r>
        <w:rPr>
          <w:rFonts w:eastAsia="宋体"/>
          <w:sz w:val="28"/>
          <w:szCs w:val="28"/>
        </w:rPr>
        <w:t>×24</w:t>
      </w:r>
      <w:r>
        <w:rPr>
          <w:rFonts w:eastAsia="宋体"/>
          <w:sz w:val="28"/>
          <w:szCs w:val="28"/>
          <w:vertAlign w:val="superscript"/>
        </w:rPr>
        <w:t>n3-1</w:t>
      </w:r>
      <w:r>
        <w:rPr>
          <w:rFonts w:eastAsia="宋体"/>
          <w:sz w:val="28"/>
          <w:szCs w:val="28"/>
        </w:rPr>
        <w:t>×6</w:t>
      </w:r>
      <w:r>
        <w:rPr>
          <w:rFonts w:eastAsia="宋体"/>
          <w:sz w:val="28"/>
          <w:szCs w:val="28"/>
          <w:vertAlign w:val="superscript"/>
        </w:rPr>
        <w:t>n2-n3</w:t>
      </w:r>
      <w:r>
        <w:rPr>
          <w:rFonts w:eastAsia="宋体"/>
          <w:sz w:val="28"/>
          <w:szCs w:val="28"/>
        </w:rPr>
        <w:t>×t</w:t>
      </w:r>
      <w:r>
        <w:rPr>
          <w:rFonts w:eastAsia="宋体"/>
          <w:sz w:val="28"/>
          <w:szCs w:val="28"/>
          <w:vertAlign w:val="superscript"/>
        </w:rPr>
        <w:t>1-n2</w:t>
      </w:r>
    </w:p>
    <w:p>
      <w:pPr>
        <w:autoSpaceDE w:val="0"/>
        <w:autoSpaceDN w:val="0"/>
        <w:adjustRightInd w:val="0"/>
        <w:spacing w:beforeLines="50" w:line="360" w:lineRule="auto"/>
        <w:ind w:firstLine="560" w:firstLineChars="200"/>
        <w:rPr>
          <w:rFonts w:eastAsia="宋体"/>
          <w:sz w:val="28"/>
          <w:szCs w:val="28"/>
        </w:rPr>
      </w:pPr>
      <w:r>
        <w:rPr>
          <w:rFonts w:hAnsi="宋体" w:eastAsia="宋体"/>
          <w:sz w:val="28"/>
          <w:szCs w:val="28"/>
          <w:lang w:val="zh-CN"/>
        </w:rPr>
        <w:t>最大</w:t>
      </w:r>
      <w:r>
        <w:rPr>
          <w:rFonts w:eastAsia="宋体"/>
          <w:sz w:val="28"/>
          <w:szCs w:val="28"/>
        </w:rPr>
        <w:t>6</w:t>
      </w:r>
      <w:r>
        <w:rPr>
          <w:rFonts w:hAnsi="宋体" w:eastAsia="宋体"/>
          <w:sz w:val="28"/>
          <w:szCs w:val="28"/>
          <w:lang w:val="zh-CN"/>
        </w:rPr>
        <w:t>～</w:t>
      </w:r>
      <w:r>
        <w:rPr>
          <w:rFonts w:eastAsia="宋体"/>
          <w:sz w:val="28"/>
          <w:szCs w:val="28"/>
        </w:rPr>
        <w:t>24</w:t>
      </w:r>
      <w:r>
        <w:rPr>
          <w:rFonts w:hAnsi="宋体" w:eastAsia="宋体"/>
          <w:sz w:val="28"/>
          <w:szCs w:val="28"/>
          <w:lang w:val="zh-CN"/>
        </w:rPr>
        <w:t>小时暴雨的时程分配公式为：</w:t>
      </w:r>
    </w:p>
    <w:p>
      <w:pPr>
        <w:autoSpaceDE w:val="0"/>
        <w:autoSpaceDN w:val="0"/>
        <w:adjustRightInd w:val="0"/>
        <w:spacing w:beforeLines="50" w:line="360" w:lineRule="auto"/>
        <w:ind w:firstLine="560" w:firstLineChars="200"/>
        <w:rPr>
          <w:rFonts w:eastAsia="宋体"/>
          <w:sz w:val="28"/>
          <w:szCs w:val="28"/>
        </w:rPr>
      </w:pPr>
      <w:r>
        <w:rPr>
          <w:rFonts w:eastAsia="宋体"/>
          <w:sz w:val="28"/>
          <w:szCs w:val="28"/>
        </w:rPr>
        <w:t>H</w:t>
      </w:r>
      <w:r>
        <w:rPr>
          <w:rFonts w:eastAsia="宋体"/>
          <w:sz w:val="28"/>
          <w:szCs w:val="28"/>
          <w:vertAlign w:val="subscript"/>
        </w:rPr>
        <w:t>t</w:t>
      </w:r>
      <w:r>
        <w:rPr>
          <w:rFonts w:eastAsia="宋体"/>
          <w:sz w:val="28"/>
          <w:szCs w:val="28"/>
        </w:rPr>
        <w:t>=H</w:t>
      </w:r>
      <w:r>
        <w:rPr>
          <w:rFonts w:eastAsia="宋体"/>
          <w:sz w:val="28"/>
          <w:szCs w:val="28"/>
          <w:vertAlign w:val="subscript"/>
        </w:rPr>
        <w:t>24</w:t>
      </w:r>
      <w:r>
        <w:rPr>
          <w:rFonts w:eastAsia="宋体"/>
          <w:sz w:val="28"/>
          <w:szCs w:val="28"/>
        </w:rPr>
        <w:t>×24</w:t>
      </w:r>
      <w:r>
        <w:rPr>
          <w:rFonts w:eastAsia="宋体"/>
          <w:sz w:val="28"/>
          <w:szCs w:val="28"/>
          <w:vertAlign w:val="superscript"/>
        </w:rPr>
        <w:t>n3-1</w:t>
      </w:r>
      <w:r>
        <w:rPr>
          <w:rFonts w:eastAsia="宋体"/>
          <w:sz w:val="28"/>
          <w:szCs w:val="28"/>
        </w:rPr>
        <w:t>×t</w:t>
      </w:r>
      <w:r>
        <w:rPr>
          <w:rFonts w:eastAsia="宋体"/>
          <w:sz w:val="28"/>
          <w:szCs w:val="28"/>
          <w:vertAlign w:val="superscript"/>
        </w:rPr>
        <w:t>1-n3</w:t>
      </w:r>
    </w:p>
    <w:p>
      <w:pPr>
        <w:autoSpaceDE w:val="0"/>
        <w:autoSpaceDN w:val="0"/>
        <w:adjustRightInd w:val="0"/>
        <w:spacing w:beforeLines="50" w:line="360" w:lineRule="auto"/>
        <w:ind w:firstLine="560" w:firstLineChars="200"/>
        <w:rPr>
          <w:rFonts w:eastAsia="宋体"/>
          <w:sz w:val="28"/>
          <w:szCs w:val="28"/>
        </w:rPr>
      </w:pPr>
      <w:r>
        <w:rPr>
          <w:rFonts w:hAnsi="宋体" w:eastAsia="宋体"/>
          <w:sz w:val="28"/>
          <w:szCs w:val="28"/>
          <w:lang w:val="zh-CN"/>
        </w:rPr>
        <w:t>式中</w:t>
      </w:r>
      <w:r>
        <w:rPr>
          <w:rFonts w:hAnsi="宋体" w:eastAsia="宋体"/>
          <w:sz w:val="28"/>
          <w:szCs w:val="28"/>
        </w:rPr>
        <w:t>：</w:t>
      </w:r>
      <w:r>
        <w:rPr>
          <w:rFonts w:eastAsia="宋体"/>
          <w:sz w:val="28"/>
          <w:szCs w:val="28"/>
        </w:rPr>
        <w:t>Ht─1</w:t>
      </w:r>
      <w:r>
        <w:rPr>
          <w:rFonts w:hAnsi="宋体" w:eastAsia="宋体"/>
          <w:sz w:val="28"/>
          <w:szCs w:val="28"/>
          <w:lang w:val="zh-CN"/>
        </w:rPr>
        <w:t>～</w:t>
      </w:r>
      <w:r>
        <w:rPr>
          <w:rFonts w:eastAsia="宋体"/>
          <w:sz w:val="28"/>
          <w:szCs w:val="28"/>
        </w:rPr>
        <w:t>24</w:t>
      </w:r>
      <w:r>
        <w:rPr>
          <w:rFonts w:hAnsi="宋体" w:eastAsia="宋体"/>
          <w:sz w:val="28"/>
          <w:szCs w:val="28"/>
          <w:lang w:val="zh-CN"/>
        </w:rPr>
        <w:t>小时内任一</w:t>
      </w:r>
      <w:r>
        <w:rPr>
          <w:rFonts w:eastAsia="宋体"/>
          <w:sz w:val="28"/>
          <w:szCs w:val="28"/>
        </w:rPr>
        <w:t>t</w:t>
      </w:r>
      <w:r>
        <w:rPr>
          <w:rFonts w:hAnsi="宋体" w:eastAsia="宋体"/>
          <w:sz w:val="28"/>
          <w:szCs w:val="28"/>
          <w:lang w:val="zh-CN"/>
        </w:rPr>
        <w:t>时段的暴雨量</w:t>
      </w:r>
      <w:r>
        <w:rPr>
          <w:rFonts w:hAnsi="宋体" w:eastAsia="宋体"/>
          <w:sz w:val="28"/>
          <w:szCs w:val="28"/>
        </w:rPr>
        <w:t>；</w:t>
      </w:r>
    </w:p>
    <w:p>
      <w:pPr>
        <w:autoSpaceDE w:val="0"/>
        <w:autoSpaceDN w:val="0"/>
        <w:adjustRightInd w:val="0"/>
        <w:spacing w:beforeLines="50" w:line="360" w:lineRule="auto"/>
        <w:ind w:firstLine="560" w:firstLineChars="200"/>
        <w:rPr>
          <w:rFonts w:eastAsia="宋体"/>
          <w:sz w:val="28"/>
          <w:szCs w:val="28"/>
        </w:rPr>
      </w:pPr>
      <w:r>
        <w:rPr>
          <w:rFonts w:eastAsia="宋体"/>
          <w:sz w:val="28"/>
          <w:szCs w:val="28"/>
        </w:rPr>
        <w:t>n</w:t>
      </w:r>
      <w:r>
        <w:rPr>
          <w:rFonts w:eastAsia="宋体"/>
          <w:sz w:val="28"/>
          <w:szCs w:val="28"/>
          <w:vertAlign w:val="subscript"/>
        </w:rPr>
        <w:t>2</w:t>
      </w:r>
      <w:r>
        <w:rPr>
          <w:rFonts w:hAnsi="宋体" w:eastAsia="宋体"/>
          <w:sz w:val="28"/>
          <w:szCs w:val="28"/>
          <w:lang w:val="zh-CN"/>
        </w:rPr>
        <w:t>、</w:t>
      </w:r>
      <w:r>
        <w:rPr>
          <w:rFonts w:eastAsia="宋体"/>
          <w:sz w:val="28"/>
          <w:szCs w:val="28"/>
        </w:rPr>
        <w:t>n</w:t>
      </w:r>
      <w:r>
        <w:rPr>
          <w:rFonts w:eastAsia="宋体"/>
          <w:sz w:val="28"/>
          <w:szCs w:val="28"/>
          <w:vertAlign w:val="subscript"/>
        </w:rPr>
        <w:t>3</w:t>
      </w:r>
      <w:r>
        <w:rPr>
          <w:rFonts w:eastAsia="宋体"/>
          <w:sz w:val="28"/>
          <w:szCs w:val="28"/>
          <w:lang w:val="zh-CN"/>
        </w:rPr>
        <w:t>─</w:t>
      </w:r>
      <w:r>
        <w:rPr>
          <w:rFonts w:hAnsi="宋体" w:eastAsia="宋体"/>
          <w:sz w:val="28"/>
          <w:szCs w:val="28"/>
          <w:lang w:val="zh-CN"/>
        </w:rPr>
        <w:t>依地理位置、集雨面积及降雨量而变的参数；</w:t>
      </w:r>
    </w:p>
    <w:p>
      <w:pPr>
        <w:autoSpaceDE w:val="0"/>
        <w:autoSpaceDN w:val="0"/>
        <w:adjustRightInd w:val="0"/>
        <w:spacing w:beforeLines="50" w:line="360" w:lineRule="auto"/>
        <w:ind w:firstLine="560" w:firstLineChars="200"/>
        <w:rPr>
          <w:rFonts w:eastAsia="宋体"/>
          <w:sz w:val="28"/>
          <w:szCs w:val="28"/>
        </w:rPr>
      </w:pPr>
      <w:r>
        <w:rPr>
          <w:rFonts w:eastAsia="宋体"/>
          <w:sz w:val="28"/>
          <w:szCs w:val="28"/>
        </w:rPr>
        <w:t>t</w:t>
      </w:r>
      <w:r>
        <w:rPr>
          <w:rFonts w:eastAsia="宋体"/>
          <w:sz w:val="28"/>
          <w:szCs w:val="28"/>
          <w:lang w:val="zh-CN"/>
        </w:rPr>
        <w:t>─</w:t>
      </w:r>
      <w:r>
        <w:rPr>
          <w:rFonts w:hAnsi="宋体" w:eastAsia="宋体"/>
          <w:sz w:val="28"/>
          <w:szCs w:val="28"/>
          <w:lang w:val="zh-CN"/>
        </w:rPr>
        <w:t>对应</w:t>
      </w:r>
      <w:r>
        <w:rPr>
          <w:rFonts w:eastAsia="宋体"/>
          <w:sz w:val="28"/>
          <w:szCs w:val="28"/>
        </w:rPr>
        <w:t>H</w:t>
      </w:r>
      <w:r>
        <w:rPr>
          <w:rFonts w:eastAsia="宋体"/>
          <w:sz w:val="28"/>
          <w:szCs w:val="28"/>
          <w:vertAlign w:val="subscript"/>
        </w:rPr>
        <w:t>t</w:t>
      </w:r>
      <w:r>
        <w:rPr>
          <w:rFonts w:hAnsi="宋体" w:eastAsia="宋体"/>
          <w:sz w:val="28"/>
          <w:szCs w:val="28"/>
          <w:lang w:val="zh-CN"/>
        </w:rPr>
        <w:t>的时间。</w:t>
      </w:r>
    </w:p>
    <w:p>
      <w:pPr>
        <w:autoSpaceDE w:val="0"/>
        <w:autoSpaceDN w:val="0"/>
        <w:adjustRightInd w:val="0"/>
        <w:spacing w:beforeLines="50" w:line="360" w:lineRule="auto"/>
        <w:ind w:firstLine="480"/>
        <w:rPr>
          <w:rFonts w:eastAsia="宋体"/>
          <w:sz w:val="28"/>
          <w:szCs w:val="28"/>
        </w:rPr>
      </w:pPr>
      <w:r>
        <w:rPr>
          <w:rFonts w:hAnsi="宋体" w:eastAsia="宋体"/>
          <w:sz w:val="28"/>
          <w:szCs w:val="28"/>
          <w:lang w:val="zh-CN"/>
        </w:rPr>
        <w:t>地面总径流深按下式计算：</w:t>
      </w:r>
    </w:p>
    <w:p>
      <w:pPr>
        <w:autoSpaceDE w:val="0"/>
        <w:autoSpaceDN w:val="0"/>
        <w:adjustRightInd w:val="0"/>
        <w:spacing w:beforeLines="50" w:line="360" w:lineRule="auto"/>
        <w:rPr>
          <w:rFonts w:eastAsia="宋体"/>
          <w:sz w:val="28"/>
          <w:szCs w:val="28"/>
        </w:rPr>
      </w:pPr>
      <w:r>
        <w:rPr>
          <w:rFonts w:eastAsia="宋体"/>
          <w:sz w:val="28"/>
          <w:szCs w:val="28"/>
        </w:rPr>
        <w:t xml:space="preserve">          R</w:t>
      </w:r>
      <w:r>
        <w:rPr>
          <w:rFonts w:hAnsi="宋体" w:eastAsia="宋体"/>
          <w:sz w:val="28"/>
          <w:szCs w:val="28"/>
          <w:vertAlign w:val="subscript"/>
          <w:lang w:val="zh-CN"/>
        </w:rPr>
        <w:t>上</w:t>
      </w:r>
      <w:r>
        <w:rPr>
          <w:rFonts w:eastAsia="宋体"/>
          <w:sz w:val="28"/>
          <w:szCs w:val="28"/>
        </w:rPr>
        <w:t>=ψ×R</w:t>
      </w:r>
      <w:r>
        <w:rPr>
          <w:rFonts w:hAnsi="宋体" w:eastAsia="宋体"/>
          <w:sz w:val="28"/>
          <w:szCs w:val="28"/>
          <w:vertAlign w:val="subscript"/>
          <w:lang w:val="zh-CN"/>
        </w:rPr>
        <w:t>总</w:t>
      </w:r>
    </w:p>
    <w:p>
      <w:pPr>
        <w:autoSpaceDE w:val="0"/>
        <w:autoSpaceDN w:val="0"/>
        <w:adjustRightInd w:val="0"/>
        <w:spacing w:beforeLines="50" w:line="360" w:lineRule="auto"/>
        <w:ind w:firstLine="480"/>
        <w:rPr>
          <w:rFonts w:eastAsia="宋体"/>
          <w:sz w:val="28"/>
          <w:szCs w:val="28"/>
        </w:rPr>
      </w:pPr>
      <w:r>
        <w:rPr>
          <w:rFonts w:hAnsi="宋体" w:eastAsia="宋体"/>
          <w:sz w:val="28"/>
          <w:szCs w:val="28"/>
          <w:lang w:val="zh-CN"/>
        </w:rPr>
        <w:t>式中：</w:t>
      </w:r>
      <w:r>
        <w:rPr>
          <w:rFonts w:eastAsia="宋体"/>
          <w:sz w:val="28"/>
          <w:szCs w:val="28"/>
        </w:rPr>
        <w:t>R</w:t>
      </w:r>
      <w:r>
        <w:rPr>
          <w:rFonts w:hAnsi="宋体" w:eastAsia="宋体"/>
          <w:sz w:val="28"/>
          <w:szCs w:val="28"/>
          <w:vertAlign w:val="subscript"/>
          <w:lang w:val="zh-CN"/>
        </w:rPr>
        <w:t>上</w:t>
      </w:r>
      <w:r>
        <w:rPr>
          <w:rFonts w:eastAsia="宋体"/>
          <w:sz w:val="28"/>
          <w:szCs w:val="28"/>
          <w:lang w:val="zh-CN"/>
        </w:rPr>
        <w:t>─</w:t>
      </w:r>
      <w:r>
        <w:rPr>
          <w:rFonts w:hAnsi="宋体" w:eastAsia="宋体"/>
          <w:sz w:val="28"/>
          <w:szCs w:val="28"/>
          <w:lang w:val="zh-CN"/>
        </w:rPr>
        <w:t>地表径流深，</w:t>
      </w:r>
      <w:r>
        <w:rPr>
          <w:rFonts w:eastAsia="宋体"/>
          <w:sz w:val="28"/>
          <w:szCs w:val="28"/>
        </w:rPr>
        <w:t>mm</w:t>
      </w:r>
      <w:r>
        <w:rPr>
          <w:rFonts w:hAnsi="宋体" w:eastAsia="宋体"/>
          <w:sz w:val="28"/>
          <w:szCs w:val="28"/>
          <w:lang w:val="zh-CN"/>
        </w:rPr>
        <w:t>；</w:t>
      </w:r>
    </w:p>
    <w:p>
      <w:pPr>
        <w:autoSpaceDE w:val="0"/>
        <w:autoSpaceDN w:val="0"/>
        <w:adjustRightInd w:val="0"/>
        <w:spacing w:beforeLines="50" w:line="360" w:lineRule="auto"/>
        <w:ind w:firstLine="480"/>
        <w:rPr>
          <w:rFonts w:eastAsia="宋体"/>
          <w:sz w:val="28"/>
          <w:szCs w:val="28"/>
        </w:rPr>
      </w:pPr>
      <w:r>
        <w:rPr>
          <w:rFonts w:eastAsia="宋体"/>
          <w:sz w:val="28"/>
          <w:szCs w:val="28"/>
        </w:rPr>
        <w:t xml:space="preserve">      ψ─</w:t>
      </w:r>
      <w:r>
        <w:rPr>
          <w:rFonts w:hAnsi="宋体" w:eastAsia="宋体"/>
          <w:sz w:val="28"/>
          <w:szCs w:val="28"/>
          <w:lang w:val="zh-CN"/>
        </w:rPr>
        <w:t>地表径流占总径流的比值；</w:t>
      </w:r>
    </w:p>
    <w:p>
      <w:pPr>
        <w:autoSpaceDE w:val="0"/>
        <w:autoSpaceDN w:val="0"/>
        <w:adjustRightInd w:val="0"/>
        <w:spacing w:beforeLines="50" w:line="360" w:lineRule="auto"/>
        <w:ind w:firstLine="480"/>
        <w:rPr>
          <w:rFonts w:hAnsi="宋体" w:eastAsia="宋体"/>
          <w:sz w:val="28"/>
          <w:szCs w:val="28"/>
          <w:lang w:val="zh-CN"/>
        </w:rPr>
      </w:pPr>
      <w:r>
        <w:rPr>
          <w:rFonts w:eastAsia="宋体"/>
          <w:sz w:val="28"/>
          <w:szCs w:val="28"/>
        </w:rPr>
        <w:t xml:space="preserve">      R</w:t>
      </w:r>
      <w:r>
        <w:rPr>
          <w:rFonts w:hAnsi="宋体" w:eastAsia="宋体"/>
          <w:sz w:val="28"/>
          <w:szCs w:val="28"/>
          <w:vertAlign w:val="subscript"/>
          <w:lang w:val="zh-CN"/>
        </w:rPr>
        <w:t>总</w:t>
      </w:r>
      <w:r>
        <w:rPr>
          <w:rFonts w:eastAsia="宋体"/>
          <w:sz w:val="28"/>
          <w:szCs w:val="28"/>
          <w:lang w:val="zh-CN"/>
        </w:rPr>
        <w:t>─</w:t>
      </w:r>
      <w:r>
        <w:rPr>
          <w:rFonts w:hAnsi="宋体" w:eastAsia="宋体"/>
          <w:sz w:val="28"/>
          <w:szCs w:val="28"/>
          <w:lang w:val="zh-CN"/>
        </w:rPr>
        <w:t>总径流深，</w:t>
      </w:r>
      <w:r>
        <w:rPr>
          <w:rFonts w:eastAsia="宋体"/>
          <w:sz w:val="28"/>
          <w:szCs w:val="28"/>
        </w:rPr>
        <w:t>mm</w:t>
      </w:r>
      <w:r>
        <w:rPr>
          <w:rFonts w:hAnsi="宋体" w:eastAsia="宋体"/>
          <w:sz w:val="28"/>
          <w:szCs w:val="28"/>
          <w:lang w:val="zh-CN"/>
        </w:rPr>
        <w:t>。</w:t>
      </w:r>
    </w:p>
    <w:p>
      <w:pPr>
        <w:pStyle w:val="7"/>
        <w:spacing w:before="0" w:after="0" w:line="240" w:lineRule="auto"/>
        <w:ind w:left="0" w:firstLine="0"/>
      </w:pPr>
      <w:bookmarkStart w:id="114" w:name="_Toc12106"/>
      <w:r>
        <w:rPr>
          <w:rFonts w:hint="eastAsia"/>
        </w:rPr>
        <w:t>设计净雨分配过程</w:t>
      </w:r>
      <w:bookmarkEnd w:id="114"/>
    </w:p>
    <w:p>
      <w:pPr>
        <w:adjustRightInd w:val="0"/>
        <w:snapToGrid w:val="0"/>
        <w:spacing w:beforeLines="50" w:line="360" w:lineRule="auto"/>
        <w:ind w:firstLine="560" w:firstLineChars="200"/>
        <w:rPr>
          <w:rFonts w:hAnsi="宋体"/>
          <w:sz w:val="28"/>
          <w:szCs w:val="28"/>
          <w:lang w:val="zh-CN"/>
        </w:rPr>
      </w:pPr>
      <w:r>
        <w:rPr>
          <w:rFonts w:hAnsi="宋体"/>
          <w:sz w:val="28"/>
          <w:szCs w:val="28"/>
          <w:lang w:val="zh-CN"/>
        </w:rPr>
        <w:t>根据项目区的地理位置查《湖南省暴雨洪水查算手册》</w:t>
      </w:r>
      <w:r>
        <w:rPr>
          <w:rFonts w:hint="eastAsia" w:hAnsi="宋体"/>
          <w:bCs/>
          <w:sz w:val="28"/>
          <w:szCs w:val="28"/>
        </w:rPr>
        <w:t>(2015版)</w:t>
      </w:r>
      <w:r>
        <w:rPr>
          <w:rFonts w:hAnsi="宋体"/>
          <w:sz w:val="28"/>
          <w:szCs w:val="28"/>
          <w:lang w:val="zh-CN"/>
        </w:rPr>
        <w:t>，本工程属产流分区第</w:t>
      </w:r>
      <w:r>
        <w:rPr>
          <w:rFonts w:hint="eastAsia" w:ascii="宋体" w:hAnsi="宋体" w:eastAsia="宋体" w:cs="宋体"/>
          <w:sz w:val="28"/>
          <w:szCs w:val="28"/>
          <w:lang w:val="zh-CN"/>
        </w:rPr>
        <w:t>Ⅱ</w:t>
      </w:r>
      <w:r>
        <w:rPr>
          <w:rFonts w:hAnsi="宋体"/>
          <w:sz w:val="28"/>
          <w:szCs w:val="28"/>
          <w:lang w:val="zh-CN"/>
        </w:rPr>
        <w:t>区，降雨初损为</w:t>
      </w:r>
      <w:r>
        <w:rPr>
          <w:sz w:val="28"/>
          <w:szCs w:val="28"/>
        </w:rPr>
        <w:t>I</w:t>
      </w:r>
      <w:r>
        <w:rPr>
          <w:sz w:val="28"/>
          <w:szCs w:val="28"/>
          <w:vertAlign w:val="subscript"/>
        </w:rPr>
        <w:t>0</w:t>
      </w:r>
      <w:r>
        <w:rPr>
          <w:sz w:val="28"/>
          <w:szCs w:val="28"/>
        </w:rPr>
        <w:t>=3</w:t>
      </w:r>
      <w:r>
        <w:rPr>
          <w:rFonts w:hint="eastAsia"/>
          <w:sz w:val="28"/>
          <w:szCs w:val="28"/>
        </w:rPr>
        <w:t>2</w:t>
      </w:r>
      <w:r>
        <w:rPr>
          <w:sz w:val="28"/>
          <w:szCs w:val="28"/>
        </w:rPr>
        <w:t>mm</w:t>
      </w:r>
      <w:r>
        <w:rPr>
          <w:rFonts w:hAnsi="宋体"/>
          <w:sz w:val="28"/>
          <w:szCs w:val="28"/>
          <w:lang w:val="zh-CN"/>
        </w:rPr>
        <w:t>。设计净雨分配过程采用第</w:t>
      </w:r>
      <w:r>
        <w:rPr>
          <w:rFonts w:hint="eastAsia"/>
          <w:sz w:val="28"/>
          <w:szCs w:val="28"/>
        </w:rPr>
        <w:t>3</w:t>
      </w:r>
      <w:r>
        <w:rPr>
          <w:rFonts w:hAnsi="宋体"/>
          <w:sz w:val="28"/>
          <w:szCs w:val="28"/>
          <w:lang w:val="zh-CN"/>
        </w:rPr>
        <w:t>区概化雨型时程分配表进行计算。</w:t>
      </w:r>
    </w:p>
    <w:p>
      <w:pPr>
        <w:pStyle w:val="7"/>
        <w:spacing w:before="0" w:after="0" w:line="240" w:lineRule="auto"/>
        <w:ind w:left="0" w:firstLine="0"/>
      </w:pPr>
      <w:bookmarkStart w:id="115" w:name="_Toc1850"/>
      <w:r>
        <w:rPr>
          <w:rFonts w:hint="eastAsia"/>
        </w:rPr>
        <w:t>设计洪峰流量</w:t>
      </w:r>
      <w:bookmarkEnd w:id="115"/>
    </w:p>
    <w:p>
      <w:pPr>
        <w:snapToGrid w:val="0"/>
        <w:spacing w:beforeLines="50" w:line="360" w:lineRule="auto"/>
        <w:ind w:firstLine="560" w:firstLineChars="200"/>
        <w:rPr>
          <w:sz w:val="28"/>
          <w:szCs w:val="28"/>
        </w:rPr>
      </w:pPr>
      <w:r>
        <w:rPr>
          <w:rFonts w:hint="eastAsia"/>
          <w:sz w:val="28"/>
          <w:szCs w:val="28"/>
        </w:rPr>
        <w:t>本次设计采用推理公式法和综合无因次单位法两种方法分别推求。</w:t>
      </w:r>
    </w:p>
    <w:p>
      <w:pPr>
        <w:numPr>
          <w:ilvl w:val="0"/>
          <w:numId w:val="3"/>
        </w:numPr>
        <w:snapToGrid w:val="0"/>
        <w:spacing w:beforeLines="50" w:line="360" w:lineRule="auto"/>
        <w:ind w:firstLine="560" w:firstLineChars="200"/>
        <w:rPr>
          <w:sz w:val="28"/>
          <w:szCs w:val="28"/>
        </w:rPr>
      </w:pPr>
      <w:r>
        <w:rPr>
          <w:rFonts w:hint="eastAsia"/>
          <w:sz w:val="28"/>
          <w:szCs w:val="28"/>
        </w:rPr>
        <w:t>推理公式法</w:t>
      </w:r>
    </w:p>
    <w:p>
      <w:pPr>
        <w:adjustRightInd w:val="0"/>
        <w:snapToGrid w:val="0"/>
        <w:spacing w:beforeLines="50" w:line="360" w:lineRule="auto"/>
        <w:ind w:left="2" w:leftChars="1" w:firstLine="560" w:firstLineChars="200"/>
        <w:rPr>
          <w:rFonts w:eastAsia="宋体"/>
          <w:sz w:val="28"/>
          <w:szCs w:val="28"/>
        </w:rPr>
      </w:pPr>
      <w:r>
        <w:rPr>
          <w:rFonts w:hAnsi="宋体" w:eastAsia="宋体"/>
          <w:sz w:val="28"/>
          <w:szCs w:val="28"/>
        </w:rPr>
        <w:t>地表径流洪峰流量</w:t>
      </w:r>
      <w:r>
        <w:rPr>
          <w:rFonts w:eastAsia="宋体"/>
          <w:sz w:val="28"/>
          <w:szCs w:val="28"/>
        </w:rPr>
        <w:t>Q</w:t>
      </w:r>
      <w:r>
        <w:rPr>
          <w:rFonts w:eastAsia="宋体"/>
          <w:sz w:val="28"/>
          <w:szCs w:val="28"/>
          <w:vertAlign w:val="subscript"/>
        </w:rPr>
        <w:t>m</w:t>
      </w:r>
      <w:r>
        <w:rPr>
          <w:rFonts w:hAnsi="宋体" w:eastAsia="宋体"/>
          <w:sz w:val="28"/>
          <w:szCs w:val="28"/>
          <w:vertAlign w:val="subscript"/>
        </w:rPr>
        <w:t>上</w:t>
      </w:r>
      <w:r>
        <w:rPr>
          <w:rFonts w:hAnsi="宋体" w:eastAsia="宋体"/>
          <w:sz w:val="28"/>
          <w:szCs w:val="28"/>
        </w:rPr>
        <w:t>和汇流时间</w:t>
      </w:r>
      <w:r>
        <w:rPr>
          <w:rFonts w:eastAsia="宋体"/>
          <w:sz w:val="28"/>
          <w:szCs w:val="28"/>
        </w:rPr>
        <w:t>τ</w:t>
      </w:r>
      <w:r>
        <w:rPr>
          <w:rFonts w:hAnsi="宋体" w:eastAsia="宋体"/>
          <w:sz w:val="28"/>
          <w:szCs w:val="28"/>
        </w:rPr>
        <w:t>可由以下公式计算：</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Q</w:t>
      </w:r>
      <w:r>
        <w:rPr>
          <w:rFonts w:eastAsia="宋体"/>
          <w:sz w:val="28"/>
          <w:szCs w:val="28"/>
          <w:vertAlign w:val="subscript"/>
        </w:rPr>
        <w:t>m</w:t>
      </w:r>
      <w:r>
        <w:rPr>
          <w:rFonts w:hAnsi="宋体" w:eastAsia="宋体"/>
          <w:sz w:val="28"/>
          <w:szCs w:val="28"/>
          <w:vertAlign w:val="subscript"/>
        </w:rPr>
        <w:t>上</w:t>
      </w:r>
      <w:r>
        <w:rPr>
          <w:rFonts w:eastAsia="宋体"/>
          <w:sz w:val="28"/>
          <w:szCs w:val="28"/>
        </w:rPr>
        <w:t>=0.278×F×R</w:t>
      </w:r>
      <w:r>
        <w:rPr>
          <w:rFonts w:eastAsia="宋体"/>
          <w:sz w:val="28"/>
          <w:szCs w:val="28"/>
          <w:vertAlign w:val="subscript"/>
        </w:rPr>
        <w:t>t</w:t>
      </w:r>
      <w:r>
        <w:rPr>
          <w:rFonts w:eastAsia="宋体"/>
          <w:sz w:val="28"/>
          <w:szCs w:val="28"/>
        </w:rPr>
        <w:t>/t</w:t>
      </w:r>
    </w:p>
    <w:p>
      <w:pPr>
        <w:adjustRightInd w:val="0"/>
        <w:snapToGrid w:val="0"/>
        <w:spacing w:beforeLines="50" w:line="360" w:lineRule="auto"/>
        <w:ind w:left="2" w:leftChars="1" w:firstLine="560" w:firstLineChars="200"/>
        <w:rPr>
          <w:rFonts w:eastAsia="宋体"/>
          <w:sz w:val="28"/>
          <w:szCs w:val="28"/>
        </w:rPr>
      </w:pPr>
      <w:r>
        <w:rPr>
          <w:rFonts w:eastAsia="宋体"/>
          <w:sz w:val="28"/>
          <w:szCs w:val="28"/>
        </w:rPr>
        <w:t xml:space="preserve">      τ=0.278×L/(m×J</w:t>
      </w:r>
      <w:r>
        <w:rPr>
          <w:rFonts w:eastAsia="宋体"/>
          <w:sz w:val="28"/>
          <w:szCs w:val="28"/>
          <w:vertAlign w:val="superscript"/>
        </w:rPr>
        <w:t>1/3</w:t>
      </w:r>
      <w:r>
        <w:rPr>
          <w:rFonts w:eastAsia="宋体"/>
          <w:sz w:val="28"/>
          <w:szCs w:val="28"/>
        </w:rPr>
        <w:t>×Q</w:t>
      </w:r>
      <w:r>
        <w:rPr>
          <w:rFonts w:eastAsia="宋体"/>
          <w:sz w:val="28"/>
          <w:szCs w:val="28"/>
          <w:vertAlign w:val="subscript"/>
        </w:rPr>
        <w:t>m</w:t>
      </w:r>
      <w:r>
        <w:rPr>
          <w:rFonts w:hAnsi="宋体" w:eastAsia="宋体"/>
          <w:sz w:val="28"/>
          <w:szCs w:val="28"/>
          <w:vertAlign w:val="subscript"/>
        </w:rPr>
        <w:t>上</w:t>
      </w:r>
      <w:r>
        <w:rPr>
          <w:rFonts w:eastAsia="宋体"/>
          <w:sz w:val="28"/>
          <w:szCs w:val="28"/>
          <w:vertAlign w:val="superscript"/>
        </w:rPr>
        <w:t>1/4</w:t>
      </w:r>
      <w:r>
        <w:rPr>
          <w:rFonts w:eastAsia="宋体"/>
          <w:sz w:val="28"/>
          <w:szCs w:val="28"/>
        </w:rPr>
        <w:t>)</w:t>
      </w:r>
    </w:p>
    <w:p>
      <w:pPr>
        <w:adjustRightInd w:val="0"/>
        <w:snapToGrid w:val="0"/>
        <w:spacing w:beforeLines="50" w:line="360" w:lineRule="auto"/>
        <w:ind w:left="2" w:leftChars="1" w:firstLine="560" w:firstLineChars="200"/>
        <w:rPr>
          <w:rFonts w:eastAsia="宋体"/>
          <w:sz w:val="28"/>
          <w:szCs w:val="28"/>
        </w:rPr>
      </w:pPr>
      <w:r>
        <w:rPr>
          <w:rFonts w:hAnsi="宋体" w:eastAsia="宋体"/>
          <w:sz w:val="28"/>
          <w:szCs w:val="28"/>
        </w:rPr>
        <w:t>式中：</w:t>
      </w:r>
      <w:r>
        <w:rPr>
          <w:rFonts w:eastAsia="宋体"/>
          <w:sz w:val="28"/>
          <w:szCs w:val="28"/>
        </w:rPr>
        <w:t>Q</w:t>
      </w:r>
      <w:r>
        <w:rPr>
          <w:rFonts w:eastAsia="宋体"/>
          <w:sz w:val="28"/>
          <w:szCs w:val="28"/>
          <w:vertAlign w:val="subscript"/>
        </w:rPr>
        <w:t>m</w:t>
      </w:r>
      <w:r>
        <w:rPr>
          <w:rFonts w:hAnsi="宋体" w:eastAsia="宋体"/>
          <w:sz w:val="28"/>
          <w:szCs w:val="28"/>
          <w:vertAlign w:val="subscript"/>
        </w:rPr>
        <w:t>上</w:t>
      </w:r>
      <w:r>
        <w:rPr>
          <w:rFonts w:eastAsia="宋体"/>
          <w:sz w:val="28"/>
          <w:szCs w:val="28"/>
        </w:rPr>
        <w:t>─</w:t>
      </w:r>
      <w:r>
        <w:rPr>
          <w:rFonts w:hAnsi="宋体" w:eastAsia="宋体"/>
          <w:sz w:val="28"/>
          <w:szCs w:val="28"/>
        </w:rPr>
        <w:t>地表洪峰流量</w:t>
      </w:r>
      <w:r>
        <w:rPr>
          <w:rFonts w:eastAsia="宋体"/>
          <w:sz w:val="28"/>
          <w:szCs w:val="28"/>
        </w:rPr>
        <w:t>(m</w:t>
      </w:r>
      <w:r>
        <w:rPr>
          <w:rFonts w:eastAsia="宋体"/>
          <w:sz w:val="28"/>
          <w:szCs w:val="28"/>
          <w:vertAlign w:val="superscript"/>
        </w:rPr>
        <w:t>3</w:t>
      </w:r>
      <w:r>
        <w:rPr>
          <w:rFonts w:eastAsia="宋体"/>
          <w:sz w:val="28"/>
          <w:szCs w:val="28"/>
        </w:rPr>
        <w:t>/s)</w:t>
      </w:r>
      <w:r>
        <w:rPr>
          <w:rFonts w:hAnsi="宋体" w:eastAsia="宋体"/>
          <w:sz w:val="28"/>
          <w:szCs w:val="28"/>
        </w:rPr>
        <w:t>；</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F─</w:t>
      </w:r>
      <w:r>
        <w:rPr>
          <w:rFonts w:hAnsi="宋体" w:eastAsia="宋体"/>
          <w:sz w:val="28"/>
          <w:szCs w:val="28"/>
        </w:rPr>
        <w:t>坝址以上流域面积</w:t>
      </w:r>
      <w:r>
        <w:rPr>
          <w:rFonts w:eastAsia="宋体"/>
          <w:sz w:val="28"/>
          <w:szCs w:val="28"/>
        </w:rPr>
        <w:t>(km</w:t>
      </w:r>
      <w:r>
        <w:rPr>
          <w:rFonts w:eastAsia="宋体"/>
          <w:sz w:val="28"/>
          <w:szCs w:val="28"/>
          <w:vertAlign w:val="superscript"/>
        </w:rPr>
        <w:t>2</w:t>
      </w:r>
      <w:r>
        <w:rPr>
          <w:rFonts w:eastAsia="宋体"/>
          <w:sz w:val="28"/>
          <w:szCs w:val="28"/>
        </w:rPr>
        <w:t>)</w:t>
      </w:r>
      <w:r>
        <w:rPr>
          <w:rFonts w:hAnsi="宋体" w:eastAsia="宋体"/>
          <w:sz w:val="28"/>
          <w:szCs w:val="28"/>
        </w:rPr>
        <w:t>；</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R</w:t>
      </w:r>
      <w:r>
        <w:rPr>
          <w:rFonts w:eastAsia="宋体"/>
          <w:sz w:val="28"/>
          <w:szCs w:val="28"/>
          <w:vertAlign w:val="subscript"/>
        </w:rPr>
        <w:t>t</w:t>
      </w:r>
      <w:r>
        <w:rPr>
          <w:rFonts w:eastAsia="宋体"/>
          <w:sz w:val="28"/>
          <w:szCs w:val="28"/>
        </w:rPr>
        <w:t>/t─</w:t>
      </w:r>
      <w:r>
        <w:rPr>
          <w:rFonts w:hAnsi="宋体" w:eastAsia="宋体"/>
          <w:sz w:val="28"/>
          <w:szCs w:val="28"/>
        </w:rPr>
        <w:t>地面径流强度；</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τ─</w:t>
      </w:r>
      <w:r>
        <w:rPr>
          <w:rFonts w:hAnsi="宋体" w:eastAsia="宋体"/>
          <w:sz w:val="28"/>
          <w:szCs w:val="28"/>
        </w:rPr>
        <w:t>汇流时间</w:t>
      </w:r>
      <w:r>
        <w:rPr>
          <w:rFonts w:eastAsia="宋体"/>
          <w:sz w:val="28"/>
          <w:szCs w:val="28"/>
        </w:rPr>
        <w:t>(h)</w:t>
      </w:r>
      <w:r>
        <w:rPr>
          <w:rFonts w:hAnsi="宋体" w:eastAsia="宋体"/>
          <w:sz w:val="28"/>
          <w:szCs w:val="28"/>
        </w:rPr>
        <w:t>；</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L─</w:t>
      </w:r>
      <w:r>
        <w:rPr>
          <w:rFonts w:hAnsi="宋体" w:eastAsia="宋体"/>
          <w:sz w:val="28"/>
          <w:szCs w:val="28"/>
        </w:rPr>
        <w:t>流域干流长度</w:t>
      </w:r>
      <w:r>
        <w:rPr>
          <w:rFonts w:eastAsia="宋体"/>
          <w:sz w:val="28"/>
          <w:szCs w:val="28"/>
        </w:rPr>
        <w:t>(km)</w:t>
      </w:r>
      <w:r>
        <w:rPr>
          <w:rFonts w:hAnsi="宋体" w:eastAsia="宋体"/>
          <w:sz w:val="28"/>
          <w:szCs w:val="28"/>
        </w:rPr>
        <w:t>；</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J─</w:t>
      </w:r>
      <w:r>
        <w:rPr>
          <w:rFonts w:hAnsi="宋体" w:eastAsia="宋体"/>
          <w:sz w:val="28"/>
          <w:szCs w:val="28"/>
        </w:rPr>
        <w:t>干流平均坡降；</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m─</w:t>
      </w:r>
      <w:r>
        <w:rPr>
          <w:rFonts w:hAnsi="宋体" w:eastAsia="宋体"/>
          <w:sz w:val="28"/>
          <w:szCs w:val="28"/>
        </w:rPr>
        <w:t>因流域形状而变的系数。</w:t>
      </w:r>
    </w:p>
    <w:p>
      <w:pPr>
        <w:adjustRightInd w:val="0"/>
        <w:snapToGrid w:val="0"/>
        <w:spacing w:beforeLines="50" w:line="360" w:lineRule="auto"/>
        <w:rPr>
          <w:rFonts w:eastAsia="宋体"/>
          <w:sz w:val="28"/>
          <w:szCs w:val="28"/>
        </w:rPr>
      </w:pPr>
      <w:r>
        <w:rPr>
          <w:rFonts w:eastAsia="宋体"/>
          <w:sz w:val="28"/>
          <w:szCs w:val="28"/>
        </w:rPr>
        <w:t xml:space="preserve">   1</w:t>
      </w:r>
      <w:r>
        <w:rPr>
          <w:rFonts w:hAnsi="宋体" w:eastAsia="宋体"/>
          <w:sz w:val="28"/>
          <w:szCs w:val="28"/>
        </w:rPr>
        <w:t>）汇流参数</w:t>
      </w:r>
      <w:r>
        <w:rPr>
          <w:rFonts w:eastAsia="宋体"/>
          <w:sz w:val="28"/>
          <w:szCs w:val="28"/>
        </w:rPr>
        <w:t>m</w:t>
      </w:r>
      <w:r>
        <w:rPr>
          <w:rFonts w:hAnsi="宋体" w:eastAsia="宋体"/>
          <w:sz w:val="28"/>
          <w:szCs w:val="28"/>
        </w:rPr>
        <w:t>值计算</w:t>
      </w:r>
    </w:p>
    <w:p>
      <w:pPr>
        <w:adjustRightInd w:val="0"/>
        <w:snapToGrid w:val="0"/>
        <w:spacing w:beforeLines="50" w:line="360" w:lineRule="auto"/>
        <w:ind w:firstLine="480"/>
        <w:rPr>
          <w:rFonts w:eastAsia="宋体"/>
          <w:sz w:val="28"/>
          <w:szCs w:val="28"/>
        </w:rPr>
      </w:pPr>
      <w:r>
        <w:rPr>
          <w:rFonts w:hAnsi="宋体" w:eastAsia="宋体"/>
          <w:sz w:val="28"/>
          <w:szCs w:val="28"/>
        </w:rPr>
        <w:t>根据《湖南省暴雨洪水查算手册》和工程所在位置位于丘陵区，以及流域地理参数</w:t>
      </w:r>
      <w:r>
        <w:rPr>
          <w:rFonts w:eastAsia="宋体"/>
          <w:sz w:val="28"/>
          <w:szCs w:val="28"/>
        </w:rPr>
        <w:t>θ</w:t>
      </w:r>
      <w:r>
        <w:rPr>
          <w:rFonts w:hAnsi="宋体" w:eastAsia="宋体"/>
          <w:sz w:val="28"/>
          <w:szCs w:val="28"/>
        </w:rPr>
        <w:t>取</w:t>
      </w:r>
      <w:r>
        <w:rPr>
          <w:rFonts w:hint="eastAsia" w:hAnsi="宋体"/>
          <w:sz w:val="28"/>
          <w:szCs w:val="28"/>
        </w:rPr>
        <w:t>新综合线</w:t>
      </w:r>
      <w:r>
        <w:rPr>
          <w:rFonts w:hAnsi="宋体" w:eastAsia="宋体"/>
          <w:sz w:val="28"/>
          <w:szCs w:val="28"/>
        </w:rPr>
        <w:t>方程求得。</w:t>
      </w:r>
    </w:p>
    <w:p>
      <w:pPr>
        <w:adjustRightInd w:val="0"/>
        <w:snapToGrid w:val="0"/>
        <w:spacing w:beforeLines="50" w:line="360" w:lineRule="auto"/>
        <w:ind w:firstLine="480"/>
        <w:rPr>
          <w:rFonts w:eastAsia="宋体"/>
          <w:sz w:val="28"/>
          <w:szCs w:val="28"/>
        </w:rPr>
      </w:pPr>
      <w:r>
        <w:rPr>
          <w:rFonts w:eastAsia="宋体"/>
          <w:sz w:val="28"/>
          <w:szCs w:val="28"/>
        </w:rPr>
        <w:t>2</w:t>
      </w:r>
      <w:r>
        <w:rPr>
          <w:rFonts w:hAnsi="宋体" w:eastAsia="宋体"/>
          <w:sz w:val="28"/>
          <w:szCs w:val="28"/>
        </w:rPr>
        <w:t>）</w:t>
      </w:r>
      <w:r>
        <w:rPr>
          <w:rFonts w:eastAsia="宋体"/>
          <w:sz w:val="28"/>
          <w:szCs w:val="28"/>
        </w:rPr>
        <w:t>R</w:t>
      </w:r>
      <w:r>
        <w:rPr>
          <w:rFonts w:eastAsia="宋体"/>
          <w:sz w:val="28"/>
          <w:szCs w:val="28"/>
          <w:vertAlign w:val="subscript"/>
        </w:rPr>
        <w:t>t</w:t>
      </w:r>
      <w:r>
        <w:rPr>
          <w:rFonts w:eastAsia="宋体"/>
          <w:sz w:val="28"/>
          <w:szCs w:val="28"/>
        </w:rPr>
        <w:t>/t</w:t>
      </w:r>
      <w:r>
        <w:rPr>
          <w:rFonts w:hAnsi="宋体" w:eastAsia="宋体"/>
          <w:sz w:val="28"/>
          <w:szCs w:val="28"/>
        </w:rPr>
        <w:t>值计算</w:t>
      </w:r>
    </w:p>
    <w:p>
      <w:pPr>
        <w:adjustRightInd w:val="0"/>
        <w:snapToGrid w:val="0"/>
        <w:spacing w:beforeLines="50" w:line="360" w:lineRule="auto"/>
        <w:ind w:firstLine="480"/>
        <w:rPr>
          <w:rFonts w:eastAsia="宋体"/>
          <w:sz w:val="28"/>
          <w:szCs w:val="28"/>
        </w:rPr>
      </w:pPr>
      <w:r>
        <w:rPr>
          <w:rFonts w:hAnsi="宋体" w:eastAsia="宋体"/>
          <w:sz w:val="28"/>
          <w:szCs w:val="28"/>
        </w:rPr>
        <w:t>根据最大</w:t>
      </w:r>
      <w:r>
        <w:rPr>
          <w:rFonts w:eastAsia="宋体"/>
          <w:sz w:val="28"/>
          <w:szCs w:val="28"/>
        </w:rPr>
        <w:t>24h</w:t>
      </w:r>
      <w:r>
        <w:rPr>
          <w:rFonts w:hAnsi="宋体" w:eastAsia="宋体"/>
          <w:sz w:val="28"/>
          <w:szCs w:val="28"/>
        </w:rPr>
        <w:t>概化雨型时程分配表中净雨过程，自最大时段净雨开始，向前后相邻时段连续累加，并除以相应的历时</w:t>
      </w:r>
      <w:r>
        <w:rPr>
          <w:rFonts w:eastAsia="宋体"/>
          <w:sz w:val="28"/>
          <w:szCs w:val="28"/>
        </w:rPr>
        <w:t>t</w:t>
      </w:r>
      <w:r>
        <w:rPr>
          <w:rFonts w:hAnsi="宋体" w:eastAsia="宋体"/>
          <w:sz w:val="28"/>
          <w:szCs w:val="28"/>
        </w:rPr>
        <w:t>，即可得</w:t>
      </w:r>
      <w:r>
        <w:rPr>
          <w:rFonts w:eastAsia="宋体"/>
          <w:sz w:val="28"/>
          <w:szCs w:val="28"/>
        </w:rPr>
        <w:t>R</w:t>
      </w:r>
      <w:r>
        <w:rPr>
          <w:rFonts w:eastAsia="宋体"/>
          <w:sz w:val="28"/>
          <w:szCs w:val="28"/>
          <w:vertAlign w:val="subscript"/>
        </w:rPr>
        <w:t>t</w:t>
      </w:r>
      <w:r>
        <w:rPr>
          <w:rFonts w:eastAsia="宋体"/>
          <w:sz w:val="28"/>
          <w:szCs w:val="28"/>
        </w:rPr>
        <w:t>/t</w:t>
      </w:r>
      <w:r>
        <w:rPr>
          <w:rFonts w:hAnsi="宋体" w:eastAsia="宋体"/>
          <w:sz w:val="28"/>
          <w:szCs w:val="28"/>
        </w:rPr>
        <w:t>值。</w:t>
      </w:r>
    </w:p>
    <w:p>
      <w:pPr>
        <w:adjustRightInd w:val="0"/>
        <w:snapToGrid w:val="0"/>
        <w:spacing w:beforeLines="50" w:line="360" w:lineRule="auto"/>
        <w:ind w:firstLine="480"/>
        <w:rPr>
          <w:rFonts w:eastAsia="宋体"/>
          <w:sz w:val="28"/>
          <w:szCs w:val="28"/>
        </w:rPr>
      </w:pPr>
      <w:r>
        <w:rPr>
          <w:rFonts w:eastAsia="宋体"/>
          <w:sz w:val="28"/>
          <w:szCs w:val="28"/>
        </w:rPr>
        <w:t>3</w:t>
      </w:r>
      <w:r>
        <w:rPr>
          <w:rFonts w:hAnsi="宋体" w:eastAsia="宋体"/>
          <w:sz w:val="28"/>
          <w:szCs w:val="28"/>
        </w:rPr>
        <w:t>）地表径流洪峰流量</w:t>
      </w:r>
      <w:r>
        <w:rPr>
          <w:rFonts w:eastAsia="宋体"/>
          <w:sz w:val="28"/>
          <w:szCs w:val="28"/>
        </w:rPr>
        <w:t>Q</w:t>
      </w:r>
      <w:r>
        <w:rPr>
          <w:rFonts w:eastAsia="宋体"/>
          <w:sz w:val="28"/>
          <w:szCs w:val="28"/>
          <w:vertAlign w:val="subscript"/>
        </w:rPr>
        <w:t>m</w:t>
      </w:r>
      <w:r>
        <w:rPr>
          <w:rFonts w:hAnsi="宋体" w:eastAsia="宋体"/>
          <w:sz w:val="28"/>
          <w:szCs w:val="28"/>
          <w:vertAlign w:val="subscript"/>
        </w:rPr>
        <w:t>上</w:t>
      </w:r>
      <w:r>
        <w:rPr>
          <w:rFonts w:hAnsi="宋体" w:eastAsia="宋体"/>
          <w:sz w:val="28"/>
          <w:szCs w:val="28"/>
        </w:rPr>
        <w:t>及汇流时间</w:t>
      </w:r>
      <w:r>
        <w:rPr>
          <w:rFonts w:eastAsia="宋体"/>
          <w:sz w:val="28"/>
          <w:szCs w:val="28"/>
        </w:rPr>
        <w:t>τ</w:t>
      </w:r>
      <w:r>
        <w:rPr>
          <w:rFonts w:hAnsi="宋体" w:eastAsia="宋体"/>
          <w:sz w:val="28"/>
          <w:szCs w:val="28"/>
        </w:rPr>
        <w:t>计算</w:t>
      </w:r>
    </w:p>
    <w:p>
      <w:pPr>
        <w:adjustRightInd w:val="0"/>
        <w:snapToGrid w:val="0"/>
        <w:spacing w:beforeLines="50" w:line="360" w:lineRule="auto"/>
        <w:ind w:firstLine="480"/>
        <w:rPr>
          <w:rFonts w:eastAsia="宋体"/>
          <w:bCs/>
          <w:sz w:val="28"/>
          <w:szCs w:val="28"/>
        </w:rPr>
      </w:pPr>
      <w:r>
        <w:rPr>
          <w:rFonts w:hAnsi="宋体" w:eastAsia="宋体"/>
          <w:sz w:val="28"/>
          <w:szCs w:val="28"/>
        </w:rPr>
        <w:t>点绘</w:t>
      </w:r>
      <w:r>
        <w:rPr>
          <w:rFonts w:eastAsia="宋体"/>
          <w:sz w:val="28"/>
          <w:szCs w:val="28"/>
        </w:rPr>
        <w:t>R</w:t>
      </w:r>
      <w:r>
        <w:rPr>
          <w:rFonts w:eastAsia="宋体"/>
          <w:sz w:val="28"/>
          <w:szCs w:val="28"/>
          <w:vertAlign w:val="subscript"/>
        </w:rPr>
        <w:t>t</w:t>
      </w:r>
      <w:r>
        <w:rPr>
          <w:rFonts w:eastAsia="宋体"/>
          <w:sz w:val="28"/>
          <w:szCs w:val="28"/>
        </w:rPr>
        <w:t>/t~t</w:t>
      </w:r>
      <w:r>
        <w:rPr>
          <w:rFonts w:hAnsi="宋体" w:eastAsia="宋体"/>
          <w:sz w:val="28"/>
          <w:szCs w:val="28"/>
        </w:rPr>
        <w:t>关系曲线，根据</w:t>
      </w:r>
      <w:r>
        <w:rPr>
          <w:rFonts w:eastAsia="宋体"/>
          <w:sz w:val="28"/>
          <w:szCs w:val="28"/>
        </w:rPr>
        <w:t>R</w:t>
      </w:r>
      <w:r>
        <w:rPr>
          <w:rFonts w:eastAsia="宋体"/>
          <w:sz w:val="28"/>
          <w:szCs w:val="28"/>
          <w:vertAlign w:val="subscript"/>
        </w:rPr>
        <w:t>t</w:t>
      </w:r>
      <w:r>
        <w:rPr>
          <w:rFonts w:eastAsia="宋体"/>
          <w:sz w:val="28"/>
          <w:szCs w:val="28"/>
        </w:rPr>
        <w:t>/t~t</w:t>
      </w:r>
      <w:r>
        <w:rPr>
          <w:rFonts w:hAnsi="宋体" w:eastAsia="宋体"/>
          <w:sz w:val="28"/>
          <w:szCs w:val="28"/>
        </w:rPr>
        <w:t>关系曲线利用标准化计算程序采用试算法即可求出。</w:t>
      </w:r>
      <w:r>
        <w:rPr>
          <w:rFonts w:hint="eastAsia"/>
          <w:bCs/>
          <w:sz w:val="28"/>
          <w:szCs w:val="28"/>
        </w:rPr>
        <w:t>秀江道县河段</w:t>
      </w:r>
      <w:r>
        <w:rPr>
          <w:rFonts w:eastAsia="宋体"/>
          <w:bCs/>
          <w:sz w:val="28"/>
          <w:szCs w:val="28"/>
        </w:rPr>
        <w:t>设计洪水计算参数及计算成果如表</w:t>
      </w:r>
      <w:r>
        <w:rPr>
          <w:rFonts w:hint="eastAsia" w:eastAsia="宋体"/>
          <w:bCs/>
          <w:sz w:val="28"/>
          <w:szCs w:val="28"/>
        </w:rPr>
        <w:t>4.3.1.5.6</w:t>
      </w:r>
      <w:r>
        <w:rPr>
          <w:rFonts w:hint="eastAsia"/>
          <w:bCs/>
          <w:sz w:val="28"/>
          <w:szCs w:val="28"/>
        </w:rPr>
        <w:t>-1</w:t>
      </w:r>
      <w:r>
        <w:rPr>
          <w:rFonts w:hint="eastAsia" w:eastAsia="宋体"/>
          <w:bCs/>
          <w:sz w:val="28"/>
          <w:szCs w:val="28"/>
        </w:rPr>
        <w:t>。</w:t>
      </w:r>
    </w:p>
    <w:p>
      <w:pPr>
        <w:spacing w:beforeLines="50" w:line="360" w:lineRule="auto"/>
        <w:rPr>
          <w:rFonts w:ascii="宋体" w:hAnsi="宋体" w:eastAsia="宋体" w:cs="宋体"/>
          <w:b/>
          <w:bCs/>
          <w:sz w:val="24"/>
          <w:szCs w:val="24"/>
          <w:lang w:val="zh-CN"/>
        </w:rPr>
      </w:pPr>
      <w:r>
        <w:rPr>
          <w:rFonts w:ascii="Times New Roman" w:hAnsi="Times New Roman" w:eastAsia="宋体" w:cs="Times New Roman"/>
          <w:b/>
          <w:bCs/>
          <w:szCs w:val="21"/>
          <w:lang w:val="zh-CN"/>
        </w:rPr>
        <w:t>表</w:t>
      </w:r>
      <w:r>
        <w:rPr>
          <w:rFonts w:hint="eastAsia" w:ascii="Times New Roman" w:hAnsi="Times New Roman" w:eastAsia="宋体" w:cs="Times New Roman"/>
          <w:b/>
          <w:bCs/>
          <w:szCs w:val="21"/>
        </w:rPr>
        <w:t>4.3.1.5.6</w:t>
      </w:r>
      <w:r>
        <w:rPr>
          <w:rFonts w:ascii="Times New Roman" w:hAnsi="Times New Roman" w:eastAsia="宋体" w:cs="Times New Roman"/>
          <w:b/>
          <w:bCs/>
          <w:szCs w:val="21"/>
        </w:rPr>
        <w:t>-1</w:t>
      </w:r>
      <w:r>
        <w:rPr>
          <w:rFonts w:hint="eastAsia"/>
          <w:b/>
          <w:spacing w:val="-10"/>
          <w:szCs w:val="21"/>
        </w:rPr>
        <w:t>秀江道县河段</w:t>
      </w:r>
      <w:r>
        <w:rPr>
          <w:rFonts w:eastAsia="宋体"/>
          <w:b/>
          <w:spacing w:val="-10"/>
          <w:szCs w:val="21"/>
        </w:rPr>
        <w:t>设计洪水计算参数和计算成果表</w:t>
      </w:r>
      <w:r>
        <w:rPr>
          <w:rFonts w:hint="eastAsia"/>
          <w:b/>
          <w:spacing w:val="-10"/>
          <w:szCs w:val="21"/>
        </w:rPr>
        <w:t>（推理公式法）</w:t>
      </w:r>
    </w:p>
    <w:tbl>
      <w:tblPr>
        <w:tblStyle w:val="22"/>
        <w:tblW w:w="87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81"/>
        <w:gridCol w:w="43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4381" w:type="dxa"/>
            <w:tcBorders>
              <w:tl2br w:val="nil"/>
              <w:tr2bl w:val="nil"/>
            </w:tcBorders>
            <w:noWrap/>
            <w:vAlign w:val="center"/>
          </w:tcPr>
          <w:p>
            <w:pPr>
              <w:adjustRightInd w:val="0"/>
              <w:snapToGrid w:val="0"/>
              <w:spacing w:before="50" w:line="360" w:lineRule="exact"/>
              <w:jc w:val="center"/>
              <w:rPr>
                <w:rFonts w:ascii="Times New Roman" w:hAnsi="Times New Roman" w:cs="Times New Roman"/>
                <w:lang w:val="zh-CN"/>
              </w:rPr>
            </w:pPr>
            <w:r>
              <w:rPr>
                <w:rFonts w:hint="eastAsia" w:cs="Times New Roman"/>
                <w:lang w:val="zh-CN"/>
              </w:rPr>
              <w:t>参数</w:t>
            </w:r>
          </w:p>
        </w:tc>
        <w:tc>
          <w:tcPr>
            <w:tcW w:w="4379" w:type="dxa"/>
            <w:tcBorders>
              <w:tl2br w:val="nil"/>
              <w:tr2bl w:val="nil"/>
            </w:tcBorders>
            <w:noWrap/>
            <w:vAlign w:val="center"/>
          </w:tcPr>
          <w:p>
            <w:pPr>
              <w:adjustRightInd w:val="0"/>
              <w:snapToGrid w:val="0"/>
              <w:spacing w:line="360" w:lineRule="exact"/>
              <w:jc w:val="center"/>
              <w:rPr>
                <w:rFonts w:ascii="Times New Roman" w:hAnsi="Times New Roman" w:cs="Times New Roman"/>
                <w:szCs w:val="21"/>
                <w:lang w:val="zh-CN"/>
              </w:rPr>
            </w:pPr>
            <w:r>
              <w:rPr>
                <w:rFonts w:hint="eastAsia"/>
                <w:szCs w:val="21"/>
              </w:rPr>
              <w:t>秀江道县段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381" w:type="dxa"/>
            <w:tcBorders>
              <w:tl2br w:val="nil"/>
              <w:tr2bl w:val="nil"/>
            </w:tcBorders>
            <w:noWrap/>
            <w:vAlign w:val="center"/>
          </w:tcPr>
          <w:p>
            <w:pPr>
              <w:adjustRightInd w:val="0"/>
              <w:snapToGrid w:val="0"/>
              <w:spacing w:before="50" w:line="360" w:lineRule="exact"/>
              <w:jc w:val="center"/>
              <w:rPr>
                <w:rFonts w:eastAsia="宋体"/>
                <w:spacing w:val="-10"/>
                <w:szCs w:val="21"/>
              </w:rPr>
            </w:pPr>
            <w:r>
              <w:rPr>
                <w:rFonts w:eastAsia="宋体"/>
                <w:spacing w:val="-10"/>
                <w:szCs w:val="21"/>
              </w:rPr>
              <w:t>集雨面积F(km</w:t>
            </w:r>
            <w:r>
              <w:rPr>
                <w:rFonts w:eastAsia="宋体"/>
                <w:spacing w:val="-10"/>
                <w:szCs w:val="21"/>
                <w:vertAlign w:val="superscript"/>
              </w:rPr>
              <w:t>2</w:t>
            </w:r>
            <w:r>
              <w:rPr>
                <w:rFonts w:eastAsia="宋体"/>
                <w:spacing w:val="-10"/>
                <w:szCs w:val="21"/>
              </w:rPr>
              <w:t>)</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38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干流长度L(km)</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438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干流坡降J(‰)</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81.26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宋体" w:hAnsi="宋体"/>
                <w:lang w:val="zh-CN"/>
              </w:rPr>
            </w:pPr>
            <w:r>
              <w:rPr>
                <w:rFonts w:hint="eastAsia" w:ascii="宋体" w:hAnsi="宋体"/>
                <w:lang w:val="zh-CN"/>
              </w:rPr>
              <w:t>设计频率</w:t>
            </w:r>
            <w:r>
              <w:rPr>
                <w:rFonts w:ascii="Times New Roman" w:hAnsi="Times New Roman" w:cs="Times New Roman"/>
                <w:lang w:val="zh-CN"/>
              </w:rPr>
              <w:t>P(%)</w:t>
            </w:r>
          </w:p>
        </w:tc>
        <w:tc>
          <w:tcPr>
            <w:tcW w:w="4379"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KP</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1.47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H24点(mm)</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183.6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H24面(mm)</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183.5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n2</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0.652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n3</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H1(mm)</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70.2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H3(mm)</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102.3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H6(mm)</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130.9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H12(mm)</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H24(mm)</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183.5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RZ(mm)</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ψ</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R上(mm)</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106.1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438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Qmp（m3/s）</w:t>
            </w:r>
          </w:p>
        </w:tc>
        <w:tc>
          <w:tcPr>
            <w:tcW w:w="437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20.4</w:t>
            </w:r>
          </w:p>
        </w:tc>
      </w:tr>
    </w:tbl>
    <w:p>
      <w:pPr>
        <w:adjustRightInd w:val="0"/>
        <w:snapToGrid w:val="0"/>
        <w:spacing w:beforeLines="50" w:line="360" w:lineRule="auto"/>
        <w:ind w:firstLine="480"/>
        <w:rPr>
          <w:rFonts w:eastAsia="宋体"/>
          <w:bCs/>
          <w:sz w:val="28"/>
          <w:szCs w:val="28"/>
        </w:rPr>
      </w:pPr>
      <w:r>
        <w:rPr>
          <w:rFonts w:hint="eastAsia"/>
          <w:sz w:val="28"/>
          <w:szCs w:val="28"/>
        </w:rPr>
        <w:t>（二）经验单位线法</w:t>
      </w:r>
    </w:p>
    <w:p>
      <w:pPr>
        <w:adjustRightInd w:val="0"/>
        <w:snapToGrid w:val="0"/>
        <w:spacing w:beforeLines="50" w:line="360" w:lineRule="auto"/>
        <w:ind w:left="2" w:leftChars="1" w:firstLine="560" w:firstLineChars="200"/>
        <w:rPr>
          <w:rFonts w:eastAsia="宋体"/>
          <w:sz w:val="28"/>
          <w:szCs w:val="28"/>
        </w:rPr>
      </w:pPr>
      <w:r>
        <w:rPr>
          <w:rFonts w:hint="eastAsia" w:hAnsi="宋体" w:eastAsia="宋体"/>
          <w:sz w:val="28"/>
          <w:szCs w:val="28"/>
        </w:rPr>
        <w:t>根据本流域地理特征和选用原则，先选定无因次单位线，时段单位线纵高q</w:t>
      </w:r>
      <w:r>
        <w:rPr>
          <w:rFonts w:hint="eastAsia" w:eastAsia="宋体"/>
          <w:sz w:val="28"/>
          <w:szCs w:val="28"/>
          <w:vertAlign w:val="subscript"/>
        </w:rPr>
        <w:t>i</w:t>
      </w:r>
      <w:r>
        <w:rPr>
          <w:rFonts w:hAnsi="宋体" w:eastAsia="宋体"/>
          <w:sz w:val="28"/>
          <w:szCs w:val="28"/>
        </w:rPr>
        <w:t>可由以下公式计算：</w:t>
      </w:r>
    </w:p>
    <w:p>
      <w:pPr>
        <w:autoSpaceDE w:val="0"/>
        <w:autoSpaceDN w:val="0"/>
        <w:adjustRightInd w:val="0"/>
        <w:spacing w:beforeLines="50" w:line="360" w:lineRule="auto"/>
        <w:ind w:left="2" w:firstLine="1200"/>
        <w:rPr>
          <w:rFonts w:eastAsia="宋体"/>
          <w:sz w:val="28"/>
          <w:szCs w:val="28"/>
        </w:rPr>
      </w:pPr>
      <w:r>
        <w:rPr>
          <w:rFonts w:hint="eastAsia" w:hAnsi="宋体" w:eastAsia="宋体"/>
          <w:sz w:val="28"/>
          <w:szCs w:val="28"/>
        </w:rPr>
        <w:t>q</w:t>
      </w:r>
      <w:r>
        <w:rPr>
          <w:rFonts w:hint="eastAsia" w:eastAsia="宋体"/>
          <w:sz w:val="28"/>
          <w:szCs w:val="28"/>
          <w:vertAlign w:val="subscript"/>
        </w:rPr>
        <w:t>i</w:t>
      </w:r>
      <w:r>
        <w:rPr>
          <w:rFonts w:eastAsia="宋体"/>
          <w:sz w:val="28"/>
          <w:szCs w:val="28"/>
        </w:rPr>
        <w:t>=2.778×F×ρ</w:t>
      </w:r>
      <w:r>
        <w:rPr>
          <w:rFonts w:eastAsia="宋体"/>
          <w:sz w:val="28"/>
          <w:szCs w:val="28"/>
          <w:vertAlign w:val="subscript"/>
        </w:rPr>
        <w:t>i</w:t>
      </w:r>
      <w:r>
        <w:rPr>
          <w:rFonts w:eastAsia="宋体"/>
          <w:sz w:val="28"/>
          <w:szCs w:val="28"/>
        </w:rPr>
        <w:t>/t</w:t>
      </w:r>
    </w:p>
    <w:p>
      <w:pPr>
        <w:autoSpaceDE w:val="0"/>
        <w:autoSpaceDN w:val="0"/>
        <w:adjustRightInd w:val="0"/>
        <w:spacing w:beforeLines="50" w:line="360" w:lineRule="auto"/>
        <w:ind w:firstLine="560" w:firstLineChars="200"/>
        <w:rPr>
          <w:rFonts w:eastAsia="宋体"/>
          <w:sz w:val="28"/>
          <w:szCs w:val="28"/>
        </w:rPr>
      </w:pPr>
      <w:r>
        <w:rPr>
          <w:rFonts w:hAnsi="宋体" w:eastAsia="宋体"/>
          <w:sz w:val="28"/>
          <w:szCs w:val="28"/>
          <w:lang w:val="zh-CN"/>
        </w:rPr>
        <w:t>式中</w:t>
      </w:r>
      <w:r>
        <w:rPr>
          <w:rFonts w:hAnsi="宋体" w:eastAsia="宋体"/>
          <w:sz w:val="28"/>
          <w:szCs w:val="28"/>
        </w:rPr>
        <w:t>：</w:t>
      </w:r>
      <w:r>
        <w:rPr>
          <w:rFonts w:hint="eastAsia" w:hAnsi="宋体" w:eastAsia="宋体"/>
          <w:sz w:val="28"/>
          <w:szCs w:val="28"/>
        </w:rPr>
        <w:t>q</w:t>
      </w:r>
      <w:r>
        <w:rPr>
          <w:rFonts w:hint="eastAsia" w:eastAsia="宋体"/>
          <w:sz w:val="28"/>
          <w:szCs w:val="28"/>
          <w:vertAlign w:val="subscript"/>
        </w:rPr>
        <w:t>i</w:t>
      </w:r>
      <w:r>
        <w:rPr>
          <w:rFonts w:eastAsia="宋体"/>
          <w:sz w:val="28"/>
          <w:szCs w:val="28"/>
        </w:rPr>
        <w:t>─</w:t>
      </w:r>
      <w:r>
        <w:rPr>
          <w:rFonts w:hint="eastAsia" w:hAnsi="宋体" w:eastAsia="宋体"/>
          <w:sz w:val="28"/>
          <w:szCs w:val="28"/>
          <w:lang w:val="zh-CN"/>
        </w:rPr>
        <w:t>时段单位线纵高</w:t>
      </w:r>
      <w:r>
        <w:rPr>
          <w:rFonts w:eastAsia="宋体"/>
          <w:sz w:val="28"/>
          <w:szCs w:val="28"/>
        </w:rPr>
        <w:t>(m</w:t>
      </w:r>
      <w:r>
        <w:rPr>
          <w:rFonts w:eastAsia="宋体"/>
          <w:sz w:val="28"/>
          <w:szCs w:val="28"/>
          <w:vertAlign w:val="superscript"/>
        </w:rPr>
        <w:t>3</w:t>
      </w:r>
      <w:r>
        <w:rPr>
          <w:rFonts w:eastAsia="宋体"/>
          <w:sz w:val="28"/>
          <w:szCs w:val="28"/>
        </w:rPr>
        <w:t>/s)</w:t>
      </w:r>
      <w:r>
        <w:rPr>
          <w:rFonts w:hAnsi="宋体" w:eastAsia="宋体"/>
          <w:sz w:val="28"/>
          <w:szCs w:val="28"/>
        </w:rPr>
        <w:t>；</w:t>
      </w:r>
    </w:p>
    <w:p>
      <w:pPr>
        <w:autoSpaceDE w:val="0"/>
        <w:autoSpaceDN w:val="0"/>
        <w:adjustRightInd w:val="0"/>
        <w:spacing w:beforeLines="50" w:line="360" w:lineRule="auto"/>
        <w:ind w:left="2" w:firstLine="1200"/>
        <w:rPr>
          <w:rFonts w:eastAsia="宋体"/>
          <w:sz w:val="28"/>
          <w:szCs w:val="28"/>
        </w:rPr>
      </w:pPr>
      <w:r>
        <w:rPr>
          <w:rFonts w:eastAsia="宋体"/>
          <w:sz w:val="28"/>
          <w:szCs w:val="28"/>
        </w:rPr>
        <w:t>F─</w:t>
      </w:r>
      <w:r>
        <w:rPr>
          <w:rFonts w:hint="eastAsia" w:hAnsi="宋体" w:eastAsia="宋体"/>
          <w:sz w:val="28"/>
          <w:szCs w:val="28"/>
          <w:lang w:val="zh-CN"/>
        </w:rPr>
        <w:t>控制</w:t>
      </w:r>
      <w:r>
        <w:rPr>
          <w:rFonts w:hAnsi="宋体" w:eastAsia="宋体"/>
          <w:sz w:val="28"/>
          <w:szCs w:val="28"/>
          <w:lang w:val="zh-CN"/>
        </w:rPr>
        <w:t>流域面积</w:t>
      </w:r>
      <w:r>
        <w:rPr>
          <w:rFonts w:eastAsia="宋体"/>
          <w:sz w:val="28"/>
          <w:szCs w:val="28"/>
        </w:rPr>
        <w:t>(km</w:t>
      </w:r>
      <w:r>
        <w:rPr>
          <w:rFonts w:eastAsia="宋体"/>
          <w:sz w:val="28"/>
          <w:szCs w:val="28"/>
          <w:vertAlign w:val="superscript"/>
        </w:rPr>
        <w:t>2</w:t>
      </w:r>
      <w:r>
        <w:rPr>
          <w:rFonts w:eastAsia="宋体"/>
          <w:sz w:val="28"/>
          <w:szCs w:val="28"/>
        </w:rPr>
        <w:t>)</w:t>
      </w:r>
      <w:r>
        <w:rPr>
          <w:rFonts w:hAnsi="宋体" w:eastAsia="宋体"/>
          <w:sz w:val="28"/>
          <w:szCs w:val="28"/>
        </w:rPr>
        <w:t>；</w:t>
      </w:r>
    </w:p>
    <w:p>
      <w:pPr>
        <w:autoSpaceDE w:val="0"/>
        <w:autoSpaceDN w:val="0"/>
        <w:adjustRightInd w:val="0"/>
        <w:spacing w:beforeLines="50" w:line="360" w:lineRule="auto"/>
        <w:ind w:left="2" w:firstLine="1200"/>
        <w:rPr>
          <w:rFonts w:eastAsia="宋体"/>
          <w:sz w:val="28"/>
          <w:szCs w:val="28"/>
          <w:lang w:val="zh-CN"/>
        </w:rPr>
      </w:pPr>
      <w:r>
        <w:rPr>
          <w:rFonts w:eastAsia="宋体"/>
          <w:sz w:val="28"/>
          <w:szCs w:val="28"/>
        </w:rPr>
        <w:t>ρ</w:t>
      </w:r>
      <w:r>
        <w:rPr>
          <w:rFonts w:eastAsia="宋体"/>
          <w:sz w:val="28"/>
          <w:szCs w:val="28"/>
          <w:vertAlign w:val="subscript"/>
        </w:rPr>
        <w:t>i</w:t>
      </w:r>
      <w:r>
        <w:rPr>
          <w:rFonts w:eastAsia="宋体"/>
          <w:sz w:val="28"/>
          <w:szCs w:val="28"/>
          <w:lang w:val="zh-CN"/>
        </w:rPr>
        <w:t>─</w:t>
      </w:r>
      <w:r>
        <w:rPr>
          <w:rFonts w:hAnsi="宋体" w:eastAsia="宋体"/>
          <w:sz w:val="28"/>
          <w:szCs w:val="28"/>
          <w:lang w:val="zh-CN"/>
        </w:rPr>
        <w:t>无因次单位线（</w:t>
      </w:r>
      <w:r>
        <w:rPr>
          <w:rFonts w:eastAsia="宋体"/>
          <w:sz w:val="28"/>
          <w:szCs w:val="28"/>
          <w:lang w:val="zh-CN"/>
        </w:rPr>
        <w:t>10mm</w:t>
      </w:r>
      <w:r>
        <w:rPr>
          <w:rFonts w:hAnsi="宋体" w:eastAsia="宋体"/>
          <w:sz w:val="28"/>
          <w:szCs w:val="28"/>
          <w:lang w:val="zh-CN"/>
        </w:rPr>
        <w:t>单位线）；</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t</w:t>
      </w:r>
      <w:r>
        <w:rPr>
          <w:rFonts w:eastAsia="宋体"/>
          <w:sz w:val="28"/>
          <w:szCs w:val="28"/>
          <w:lang w:val="zh-CN"/>
        </w:rPr>
        <w:t>─</w:t>
      </w:r>
      <w:r>
        <w:rPr>
          <w:rFonts w:hAnsi="宋体" w:eastAsia="宋体"/>
          <w:sz w:val="28"/>
          <w:szCs w:val="28"/>
          <w:lang w:val="zh-CN"/>
        </w:rPr>
        <w:t>单位时段</w:t>
      </w:r>
      <w:r>
        <w:rPr>
          <w:rFonts w:hint="eastAsia" w:hAnsi="宋体" w:eastAsia="宋体"/>
          <w:sz w:val="28"/>
          <w:szCs w:val="28"/>
          <w:lang w:val="zh-CN"/>
        </w:rPr>
        <w:t>（1小时）</w:t>
      </w:r>
      <w:r>
        <w:rPr>
          <w:rFonts w:hAnsi="宋体" w:eastAsia="宋体"/>
          <w:sz w:val="28"/>
          <w:szCs w:val="28"/>
          <w:lang w:val="zh-CN"/>
        </w:rPr>
        <w:t>；</w:t>
      </w:r>
    </w:p>
    <w:p>
      <w:pPr>
        <w:adjustRightInd w:val="0"/>
        <w:snapToGrid w:val="0"/>
        <w:spacing w:beforeLines="50" w:line="360" w:lineRule="auto"/>
        <w:ind w:firstLine="560" w:firstLineChars="200"/>
        <w:rPr>
          <w:rFonts w:eastAsia="宋体"/>
          <w:sz w:val="28"/>
          <w:szCs w:val="28"/>
        </w:rPr>
      </w:pPr>
      <w:r>
        <w:rPr>
          <w:rFonts w:hint="eastAsia" w:eastAsia="宋体"/>
          <w:sz w:val="28"/>
          <w:szCs w:val="28"/>
        </w:rPr>
        <w:t>以各时段净雨分别乘以时段为1小时的10mm单位线的时段单位线纵高</w:t>
      </w:r>
      <w:r>
        <w:rPr>
          <w:rFonts w:hint="eastAsia" w:hAnsi="宋体" w:eastAsia="宋体"/>
          <w:sz w:val="28"/>
          <w:szCs w:val="28"/>
        </w:rPr>
        <w:t>q</w:t>
      </w:r>
      <w:r>
        <w:rPr>
          <w:rFonts w:hint="eastAsia" w:eastAsia="宋体"/>
          <w:sz w:val="28"/>
          <w:szCs w:val="28"/>
          <w:vertAlign w:val="subscript"/>
        </w:rPr>
        <w:t>i</w:t>
      </w:r>
      <w:r>
        <w:rPr>
          <w:rFonts w:hint="eastAsia" w:eastAsia="宋体"/>
          <w:sz w:val="28"/>
          <w:szCs w:val="28"/>
        </w:rPr>
        <w:t>，即得相应各时段净雨的径流过程。</w:t>
      </w:r>
    </w:p>
    <w:p>
      <w:pPr>
        <w:snapToGrid w:val="0"/>
        <w:spacing w:beforeLines="50" w:line="360" w:lineRule="auto"/>
        <w:ind w:right="13" w:firstLine="560" w:firstLineChars="200"/>
        <w:rPr>
          <w:rFonts w:eastAsia="宋体"/>
          <w:sz w:val="28"/>
          <w:szCs w:val="28"/>
        </w:rPr>
      </w:pPr>
      <w:r>
        <w:rPr>
          <w:rFonts w:hAnsi="宋体" w:eastAsia="宋体"/>
          <w:sz w:val="28"/>
          <w:szCs w:val="28"/>
        </w:rPr>
        <w:t>已知地下径流深</w:t>
      </w:r>
      <w:r>
        <w:rPr>
          <w:rFonts w:eastAsia="宋体"/>
          <w:sz w:val="28"/>
          <w:szCs w:val="28"/>
        </w:rPr>
        <w:t>R</w:t>
      </w:r>
      <w:r>
        <w:rPr>
          <w:rFonts w:hAnsi="宋体" w:eastAsia="宋体"/>
          <w:sz w:val="28"/>
          <w:szCs w:val="28"/>
          <w:vertAlign w:val="subscript"/>
        </w:rPr>
        <w:t>下</w:t>
      </w:r>
      <w:r>
        <w:rPr>
          <w:rFonts w:eastAsia="宋体"/>
          <w:sz w:val="28"/>
          <w:szCs w:val="28"/>
        </w:rPr>
        <w:t>=R</w:t>
      </w:r>
      <w:r>
        <w:rPr>
          <w:rFonts w:hAnsi="宋体" w:eastAsia="宋体"/>
          <w:sz w:val="28"/>
          <w:szCs w:val="28"/>
          <w:vertAlign w:val="subscript"/>
        </w:rPr>
        <w:t>总</w:t>
      </w:r>
      <w:r>
        <w:rPr>
          <w:rFonts w:hAnsi="宋体" w:eastAsia="宋体"/>
          <w:sz w:val="28"/>
          <w:szCs w:val="28"/>
        </w:rPr>
        <w:t>－</w:t>
      </w:r>
      <w:r>
        <w:rPr>
          <w:rFonts w:eastAsia="宋体"/>
          <w:sz w:val="28"/>
          <w:szCs w:val="28"/>
        </w:rPr>
        <w:t>R</w:t>
      </w:r>
      <w:r>
        <w:rPr>
          <w:rFonts w:hAnsi="宋体" w:eastAsia="宋体"/>
          <w:sz w:val="28"/>
          <w:szCs w:val="28"/>
          <w:vertAlign w:val="subscript"/>
        </w:rPr>
        <w:t>上</w:t>
      </w:r>
      <w:r>
        <w:rPr>
          <w:rFonts w:hAnsi="宋体" w:eastAsia="宋体"/>
          <w:sz w:val="28"/>
          <w:szCs w:val="28"/>
        </w:rPr>
        <w:t>，由</w:t>
      </w:r>
      <w:r>
        <w:rPr>
          <w:rFonts w:eastAsia="宋体"/>
          <w:sz w:val="28"/>
          <w:szCs w:val="28"/>
        </w:rPr>
        <w:t>Q</w:t>
      </w:r>
      <w:r>
        <w:rPr>
          <w:rFonts w:eastAsia="宋体"/>
          <w:sz w:val="28"/>
          <w:szCs w:val="28"/>
          <w:vertAlign w:val="subscript"/>
        </w:rPr>
        <w:t>i</w:t>
      </w:r>
      <w:r>
        <w:rPr>
          <w:rFonts w:hAnsi="宋体" w:eastAsia="宋体"/>
          <w:sz w:val="28"/>
          <w:szCs w:val="28"/>
        </w:rPr>
        <w:t>～</w:t>
      </w:r>
      <w:r>
        <w:rPr>
          <w:rFonts w:eastAsia="宋体"/>
          <w:sz w:val="28"/>
          <w:szCs w:val="28"/>
        </w:rPr>
        <w:t>t</w:t>
      </w:r>
      <w:r>
        <w:rPr>
          <w:rFonts w:hAnsi="宋体" w:eastAsia="宋体"/>
          <w:sz w:val="28"/>
          <w:szCs w:val="28"/>
        </w:rPr>
        <w:t>过程线知地面径流过程底宽为</w:t>
      </w:r>
      <w:r>
        <w:rPr>
          <w:rFonts w:eastAsia="宋体"/>
          <w:sz w:val="28"/>
          <w:szCs w:val="28"/>
        </w:rPr>
        <w:t>T</w:t>
      </w:r>
      <w:r>
        <w:rPr>
          <w:rFonts w:hAnsi="宋体" w:eastAsia="宋体"/>
          <w:sz w:val="28"/>
          <w:szCs w:val="28"/>
        </w:rPr>
        <w:t>小时，以第</w:t>
      </w:r>
      <w:r>
        <w:rPr>
          <w:rFonts w:eastAsia="宋体"/>
          <w:sz w:val="28"/>
          <w:szCs w:val="28"/>
        </w:rPr>
        <w:t>T</w:t>
      </w:r>
      <w:r>
        <w:rPr>
          <w:rFonts w:hAnsi="宋体" w:eastAsia="宋体"/>
          <w:sz w:val="28"/>
          <w:szCs w:val="28"/>
        </w:rPr>
        <w:t>小时处为地下径流峰顶位置，按三角形关系求地下径流峰值</w:t>
      </w:r>
      <w:r>
        <w:rPr>
          <w:rFonts w:eastAsia="宋体"/>
          <w:sz w:val="28"/>
          <w:szCs w:val="28"/>
        </w:rPr>
        <w:t>Q</w:t>
      </w:r>
      <w:r>
        <w:rPr>
          <w:rFonts w:eastAsia="宋体"/>
          <w:sz w:val="28"/>
          <w:szCs w:val="28"/>
          <w:vertAlign w:val="subscript"/>
        </w:rPr>
        <w:t>m</w:t>
      </w:r>
      <w:r>
        <w:rPr>
          <w:rFonts w:hAnsi="宋体" w:eastAsia="宋体"/>
          <w:sz w:val="28"/>
          <w:szCs w:val="28"/>
          <w:vertAlign w:val="subscript"/>
        </w:rPr>
        <w:t>地</w:t>
      </w:r>
      <w:r>
        <w:rPr>
          <w:rFonts w:eastAsia="宋体"/>
          <w:sz w:val="28"/>
          <w:szCs w:val="28"/>
        </w:rPr>
        <w:t>=F×R</w:t>
      </w:r>
      <w:r>
        <w:rPr>
          <w:rFonts w:hAnsi="宋体" w:eastAsia="宋体"/>
          <w:sz w:val="28"/>
          <w:szCs w:val="28"/>
          <w:vertAlign w:val="subscript"/>
        </w:rPr>
        <w:t>下</w:t>
      </w:r>
      <w:r>
        <w:rPr>
          <w:rFonts w:eastAsia="宋体"/>
          <w:sz w:val="28"/>
          <w:szCs w:val="28"/>
        </w:rPr>
        <w:t>/</w:t>
      </w:r>
      <w:r>
        <w:rPr>
          <w:rFonts w:hAnsi="宋体" w:eastAsia="宋体"/>
          <w:sz w:val="28"/>
          <w:szCs w:val="28"/>
        </w:rPr>
        <w:t>（</w:t>
      </w:r>
      <w:r>
        <w:rPr>
          <w:rFonts w:eastAsia="宋体"/>
          <w:sz w:val="28"/>
          <w:szCs w:val="28"/>
        </w:rPr>
        <w:t>3.6×</w:t>
      </w:r>
      <w:r>
        <w:rPr>
          <w:rFonts w:hAnsi="宋体" w:eastAsia="宋体"/>
          <w:sz w:val="28"/>
          <w:szCs w:val="28"/>
        </w:rPr>
        <w:t>△</w:t>
      </w:r>
      <w:r>
        <w:rPr>
          <w:rFonts w:eastAsia="宋体"/>
          <w:sz w:val="28"/>
          <w:szCs w:val="28"/>
        </w:rPr>
        <w:t>t</w:t>
      </w:r>
      <w:r>
        <w:rPr>
          <w:rFonts w:hAnsi="宋体" w:eastAsia="宋体"/>
          <w:sz w:val="28"/>
          <w:szCs w:val="28"/>
        </w:rPr>
        <w:t>）</w:t>
      </w:r>
      <w:r>
        <w:rPr>
          <w:rFonts w:eastAsia="宋体"/>
          <w:sz w:val="28"/>
          <w:szCs w:val="28"/>
        </w:rPr>
        <w:t>/T</w:t>
      </w:r>
      <w:r>
        <w:rPr>
          <w:rFonts w:hAnsi="宋体" w:eastAsia="宋体"/>
          <w:sz w:val="28"/>
          <w:szCs w:val="28"/>
        </w:rPr>
        <w:t>。</w:t>
      </w:r>
      <w:r>
        <w:rPr>
          <w:rFonts w:hAnsi="宋体" w:eastAsia="宋体"/>
          <w:spacing w:val="4"/>
          <w:sz w:val="28"/>
          <w:szCs w:val="28"/>
        </w:rPr>
        <w:t>自</w:t>
      </w:r>
      <w:r>
        <w:rPr>
          <w:rFonts w:eastAsia="宋体"/>
          <w:spacing w:val="4"/>
          <w:sz w:val="28"/>
          <w:szCs w:val="28"/>
        </w:rPr>
        <w:t>Q</w:t>
      </w:r>
      <w:r>
        <w:rPr>
          <w:rFonts w:eastAsia="宋体"/>
          <w:spacing w:val="4"/>
          <w:sz w:val="28"/>
          <w:szCs w:val="28"/>
          <w:vertAlign w:val="subscript"/>
        </w:rPr>
        <w:t>m</w:t>
      </w:r>
      <w:r>
        <w:rPr>
          <w:rFonts w:hAnsi="宋体" w:eastAsia="宋体"/>
          <w:spacing w:val="4"/>
          <w:sz w:val="28"/>
          <w:szCs w:val="28"/>
          <w:vertAlign w:val="subscript"/>
        </w:rPr>
        <w:t>地</w:t>
      </w:r>
      <w:r>
        <w:rPr>
          <w:rFonts w:hAnsi="宋体" w:eastAsia="宋体"/>
          <w:spacing w:val="4"/>
          <w:sz w:val="28"/>
          <w:szCs w:val="28"/>
        </w:rPr>
        <w:t>开始每增减一个时段，其流量即减少一个△</w:t>
      </w:r>
      <w:r>
        <w:rPr>
          <w:rFonts w:eastAsia="宋体"/>
          <w:spacing w:val="4"/>
          <w:sz w:val="28"/>
          <w:szCs w:val="28"/>
        </w:rPr>
        <w:t>Q</w:t>
      </w:r>
      <w:r>
        <w:rPr>
          <w:rFonts w:hAnsi="宋体" w:eastAsia="宋体"/>
          <w:spacing w:val="4"/>
          <w:sz w:val="28"/>
          <w:szCs w:val="28"/>
          <w:vertAlign w:val="subscript"/>
        </w:rPr>
        <w:t>地</w:t>
      </w:r>
      <w:r>
        <w:rPr>
          <w:rFonts w:eastAsia="宋体"/>
          <w:spacing w:val="10"/>
          <w:sz w:val="28"/>
          <w:szCs w:val="28"/>
        </w:rPr>
        <w:t>= Q</w:t>
      </w:r>
      <w:r>
        <w:rPr>
          <w:rFonts w:eastAsia="宋体"/>
          <w:spacing w:val="10"/>
          <w:sz w:val="28"/>
          <w:szCs w:val="28"/>
          <w:vertAlign w:val="subscript"/>
        </w:rPr>
        <w:t>m</w:t>
      </w:r>
      <w:r>
        <w:rPr>
          <w:rFonts w:hAnsi="宋体" w:eastAsia="宋体"/>
          <w:spacing w:val="10"/>
          <w:sz w:val="28"/>
          <w:szCs w:val="28"/>
          <w:vertAlign w:val="subscript"/>
        </w:rPr>
        <w:t>地</w:t>
      </w:r>
      <w:r>
        <w:rPr>
          <w:rFonts w:eastAsia="宋体"/>
          <w:spacing w:val="10"/>
          <w:sz w:val="28"/>
          <w:szCs w:val="28"/>
        </w:rPr>
        <w:t xml:space="preserve">/T </w:t>
      </w:r>
      <w:r>
        <w:rPr>
          <w:rFonts w:hAnsi="宋体" w:eastAsia="宋体"/>
          <w:spacing w:val="10"/>
          <w:sz w:val="28"/>
          <w:szCs w:val="28"/>
        </w:rPr>
        <w:t>，</w:t>
      </w:r>
      <w:r>
        <w:rPr>
          <w:rFonts w:hAnsi="宋体" w:eastAsia="宋体"/>
          <w:sz w:val="28"/>
          <w:szCs w:val="28"/>
        </w:rPr>
        <w:t>由此可得地下径流过程</w:t>
      </w:r>
      <w:r>
        <w:rPr>
          <w:rFonts w:eastAsia="宋体"/>
          <w:sz w:val="28"/>
          <w:szCs w:val="28"/>
        </w:rPr>
        <w:t>Q</w:t>
      </w:r>
      <w:r>
        <w:rPr>
          <w:rFonts w:eastAsia="宋体"/>
          <w:sz w:val="28"/>
          <w:szCs w:val="28"/>
          <w:vertAlign w:val="subscript"/>
        </w:rPr>
        <w:t>o</w:t>
      </w:r>
      <w:r>
        <w:rPr>
          <w:rFonts w:hAnsi="宋体" w:eastAsia="宋体"/>
          <w:sz w:val="28"/>
          <w:szCs w:val="28"/>
        </w:rPr>
        <w:t>～</w:t>
      </w:r>
      <w:r>
        <w:rPr>
          <w:rFonts w:eastAsia="宋体"/>
          <w:sz w:val="28"/>
          <w:szCs w:val="28"/>
        </w:rPr>
        <w:t>t</w:t>
      </w:r>
      <w:r>
        <w:rPr>
          <w:rFonts w:hAnsi="宋体" w:eastAsia="宋体"/>
          <w:sz w:val="28"/>
          <w:szCs w:val="28"/>
        </w:rPr>
        <w:t>线。</w:t>
      </w:r>
    </w:p>
    <w:p>
      <w:pPr>
        <w:adjustRightInd w:val="0"/>
        <w:snapToGrid w:val="0"/>
        <w:spacing w:beforeLines="50" w:line="360" w:lineRule="auto"/>
        <w:ind w:firstLine="480"/>
        <w:rPr>
          <w:rFonts w:hAnsi="宋体" w:eastAsia="宋体"/>
          <w:sz w:val="28"/>
          <w:szCs w:val="28"/>
          <w:lang w:val="zh-CN"/>
        </w:rPr>
      </w:pPr>
      <w:r>
        <w:rPr>
          <w:rFonts w:hint="eastAsia" w:hAnsi="宋体" w:eastAsia="宋体"/>
          <w:sz w:val="28"/>
          <w:szCs w:val="28"/>
          <w:lang w:val="zh-CN"/>
        </w:rPr>
        <w:t>根据以上计算公式，</w:t>
      </w:r>
      <w:r>
        <w:rPr>
          <w:rFonts w:hAnsi="宋体" w:eastAsia="宋体"/>
          <w:sz w:val="28"/>
          <w:szCs w:val="28"/>
          <w:lang w:val="zh-CN"/>
        </w:rPr>
        <w:t>利用标准化计算程序</w:t>
      </w:r>
      <w:r>
        <w:rPr>
          <w:rFonts w:hint="eastAsia" w:hAnsi="宋体" w:eastAsia="宋体"/>
          <w:sz w:val="28"/>
          <w:szCs w:val="28"/>
          <w:lang w:val="zh-CN"/>
        </w:rPr>
        <w:t>计算</w:t>
      </w:r>
      <w:r>
        <w:rPr>
          <w:rFonts w:hAnsi="宋体" w:eastAsia="宋体"/>
          <w:sz w:val="28"/>
          <w:szCs w:val="28"/>
          <w:lang w:val="zh-CN"/>
        </w:rPr>
        <w:t>项目区</w:t>
      </w:r>
      <w:r>
        <w:rPr>
          <w:rFonts w:hint="eastAsia" w:hAnsi="宋体" w:eastAsia="宋体"/>
          <w:sz w:val="28"/>
          <w:szCs w:val="28"/>
          <w:lang w:val="zh-CN"/>
        </w:rPr>
        <w:t>各区段</w:t>
      </w:r>
      <w:r>
        <w:rPr>
          <w:rFonts w:hAnsi="宋体" w:eastAsia="宋体"/>
          <w:sz w:val="28"/>
          <w:szCs w:val="28"/>
          <w:lang w:val="zh-CN"/>
        </w:rPr>
        <w:t>设计洪水计算参数及计算成果如表</w:t>
      </w:r>
      <w:r>
        <w:rPr>
          <w:rFonts w:hint="eastAsia" w:hAnsi="宋体" w:eastAsia="宋体"/>
          <w:sz w:val="28"/>
          <w:szCs w:val="28"/>
          <w:lang w:val="zh-CN"/>
        </w:rPr>
        <w:t>4.3.1.5.6</w:t>
      </w:r>
      <w:r>
        <w:rPr>
          <w:rFonts w:hint="eastAsia"/>
          <w:sz w:val="28"/>
          <w:szCs w:val="28"/>
        </w:rPr>
        <w:t>-2</w:t>
      </w:r>
      <w:r>
        <w:rPr>
          <w:rFonts w:hAnsi="宋体" w:eastAsia="宋体"/>
          <w:sz w:val="28"/>
          <w:szCs w:val="28"/>
          <w:lang w:val="zh-CN"/>
        </w:rPr>
        <w:t>。</w:t>
      </w:r>
    </w:p>
    <w:p>
      <w:pPr>
        <w:adjustRightInd w:val="0"/>
        <w:snapToGrid w:val="0"/>
        <w:spacing w:line="360" w:lineRule="auto"/>
        <w:rPr>
          <w:rFonts w:hAnsi="宋体" w:eastAsia="宋体"/>
          <w:b/>
          <w:spacing w:val="-10"/>
          <w:sz w:val="24"/>
        </w:rPr>
      </w:pPr>
      <w:r>
        <w:rPr>
          <w:rFonts w:hAnsi="宋体" w:eastAsia="宋体"/>
          <w:b/>
          <w:spacing w:val="-10"/>
          <w:szCs w:val="21"/>
        </w:rPr>
        <w:t>表</w:t>
      </w:r>
      <w:r>
        <w:rPr>
          <w:rFonts w:hint="eastAsia" w:hAnsi="宋体" w:eastAsia="宋体"/>
          <w:b/>
          <w:spacing w:val="-10"/>
          <w:szCs w:val="21"/>
        </w:rPr>
        <w:t>4.3.1.5.6-2</w:t>
      </w:r>
      <w:r>
        <w:rPr>
          <w:rFonts w:hint="eastAsia"/>
          <w:b/>
          <w:spacing w:val="-10"/>
          <w:szCs w:val="21"/>
        </w:rPr>
        <w:t>秀江道县河段</w:t>
      </w:r>
      <w:r>
        <w:rPr>
          <w:rFonts w:eastAsia="宋体"/>
          <w:b/>
          <w:spacing w:val="-10"/>
          <w:szCs w:val="21"/>
        </w:rPr>
        <w:t>设计洪水计算参数和计算成果表</w:t>
      </w:r>
      <w:r>
        <w:rPr>
          <w:rFonts w:hint="eastAsia"/>
          <w:b/>
          <w:spacing w:val="-10"/>
          <w:szCs w:val="21"/>
        </w:rPr>
        <w:t>（经验单位线法）</w:t>
      </w:r>
    </w:p>
    <w:tbl>
      <w:tblPr>
        <w:tblStyle w:val="23"/>
        <w:tblW w:w="84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72"/>
        <w:gridCol w:w="45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参数</w:t>
            </w:r>
          </w:p>
        </w:tc>
        <w:tc>
          <w:tcPr>
            <w:tcW w:w="4508" w:type="dxa"/>
            <w:noWrap/>
            <w:vAlign w:val="center"/>
          </w:tcPr>
          <w:p>
            <w:pPr>
              <w:adjustRightInd w:val="0"/>
              <w:snapToGrid w:val="0"/>
              <w:jc w:val="center"/>
              <w:rPr>
                <w:rFonts w:eastAsia="宋体"/>
                <w:szCs w:val="21"/>
              </w:rPr>
            </w:pPr>
            <w:r>
              <w:rPr>
                <w:rFonts w:hint="eastAsia"/>
                <w:szCs w:val="21"/>
              </w:rPr>
              <w:t>秀江道县段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集雨面积</w:t>
            </w:r>
            <w:r>
              <w:rPr>
                <w:rFonts w:eastAsia="宋体"/>
                <w:szCs w:val="21"/>
              </w:rPr>
              <w:t>F(km</w:t>
            </w:r>
            <w:r>
              <w:rPr>
                <w:rFonts w:eastAsia="宋体"/>
                <w:szCs w:val="21"/>
                <w:vertAlign w:val="superscript"/>
              </w:rPr>
              <w:t>2</w:t>
            </w:r>
            <w:r>
              <w:rPr>
                <w:rFonts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设计频率（</w:t>
            </w:r>
            <w:r>
              <w:rPr>
                <w:rFonts w:eastAsia="宋体"/>
                <w:szCs w:val="21"/>
              </w:rPr>
              <w:t>%</w:t>
            </w:r>
            <w:r>
              <w:rPr>
                <w:rFonts w:hAnsi="宋体"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小时点暴雨</w:t>
            </w:r>
            <w:r>
              <w:rPr>
                <w:rFonts w:eastAsia="宋体"/>
                <w:szCs w:val="21"/>
              </w:rPr>
              <w:t>H</w:t>
            </w:r>
            <w:r>
              <w:rPr>
                <w:rFonts w:eastAsia="宋体"/>
                <w:szCs w:val="21"/>
                <w:vertAlign w:val="subscript"/>
              </w:rPr>
              <w:t>O</w:t>
            </w:r>
            <w:r>
              <w:rPr>
                <w:rFonts w:eastAsia="宋体"/>
                <w:szCs w:val="21"/>
              </w:rPr>
              <w:t>(mm)</w:t>
            </w:r>
          </w:p>
        </w:tc>
        <w:tc>
          <w:tcPr>
            <w:tcW w:w="4508" w:type="dxa"/>
            <w:noWrap/>
            <w:vAlign w:val="center"/>
          </w:tcPr>
          <w:p>
            <w:pPr>
              <w:spacing w:line="360" w:lineRule="exact"/>
              <w:jc w:val="center"/>
              <w:rPr>
                <w:rFonts w:hAnsi="宋体" w:eastAsia="宋体"/>
                <w:szCs w:val="21"/>
              </w:rPr>
            </w:pPr>
            <w:r>
              <w:rPr>
                <w:rFonts w:hint="eastAsia" w:cs="Times New Roman"/>
              </w:rPr>
              <w:t>183.6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小时面暴雨</w:t>
            </w:r>
            <w:r>
              <w:rPr>
                <w:rFonts w:eastAsia="宋体"/>
                <w:szCs w:val="21"/>
              </w:rPr>
              <w:t>H</w:t>
            </w:r>
            <w:r>
              <w:rPr>
                <w:rFonts w:hAnsi="宋体" w:eastAsia="宋体"/>
                <w:szCs w:val="21"/>
                <w:vertAlign w:val="subscript"/>
              </w:rPr>
              <w:t>面</w:t>
            </w:r>
            <w:r>
              <w:rPr>
                <w:rFonts w:eastAsia="宋体"/>
                <w:szCs w:val="21"/>
              </w:rPr>
              <w:t>(mm)</w:t>
            </w:r>
          </w:p>
        </w:tc>
        <w:tc>
          <w:tcPr>
            <w:tcW w:w="4508" w:type="dxa"/>
            <w:noWrap/>
            <w:vAlign w:val="center"/>
          </w:tcPr>
          <w:p>
            <w:pPr>
              <w:spacing w:line="360" w:lineRule="exact"/>
              <w:jc w:val="center"/>
              <w:rPr>
                <w:rFonts w:hAnsi="宋体" w:eastAsia="宋体"/>
                <w:szCs w:val="21"/>
              </w:rPr>
            </w:pPr>
            <w:r>
              <w:rPr>
                <w:rFonts w:hint="eastAsia" w:cs="Times New Roman"/>
              </w:rPr>
              <w:t>183.5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初损雨量</w:t>
            </w:r>
            <w:r>
              <w:rPr>
                <w:rFonts w:eastAsia="宋体"/>
                <w:szCs w:val="21"/>
              </w:rPr>
              <w:t>I</w:t>
            </w:r>
            <w:r>
              <w:rPr>
                <w:rFonts w:eastAsia="宋体"/>
                <w:szCs w:val="21"/>
                <w:vertAlign w:val="subscript"/>
              </w:rPr>
              <w:t>O</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单位线区域</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流域分区</w:t>
            </w:r>
            <w:r>
              <w:rPr>
                <w:rFonts w:eastAsia="宋体"/>
                <w:szCs w:val="21"/>
              </w:rPr>
              <w:t>F</w:t>
            </w:r>
            <w:r>
              <w:rPr>
                <w:rFonts w:eastAsia="宋体"/>
                <w:szCs w:val="21"/>
                <w:vertAlign w:val="subscript"/>
              </w:rPr>
              <w:t>Q</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植被地貌</w:t>
            </w:r>
            <w:r>
              <w:rPr>
                <w:rFonts w:eastAsia="宋体"/>
                <w:szCs w:val="21"/>
              </w:rPr>
              <w:t>A</w:t>
            </w:r>
            <w:r>
              <w:rPr>
                <w:rFonts w:eastAsia="宋体"/>
                <w:szCs w:val="21"/>
                <w:vertAlign w:val="subscript"/>
              </w:rPr>
              <w:t>O</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C</w:t>
            </w:r>
            <w:r>
              <w:rPr>
                <w:rFonts w:eastAsia="宋体"/>
                <w:szCs w:val="21"/>
                <w:vertAlign w:val="subscript"/>
              </w:rPr>
              <w:t>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Cs/Cv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n2</w:t>
            </w:r>
          </w:p>
        </w:tc>
        <w:tc>
          <w:tcPr>
            <w:tcW w:w="4508" w:type="dxa"/>
            <w:noWrap/>
            <w:vAlign w:val="center"/>
          </w:tcPr>
          <w:p>
            <w:pPr>
              <w:spacing w:line="360" w:lineRule="exact"/>
              <w:jc w:val="center"/>
              <w:rPr>
                <w:rFonts w:hAnsi="宋体" w:eastAsia="宋体"/>
                <w:szCs w:val="21"/>
              </w:rPr>
            </w:pPr>
            <w:r>
              <w:rPr>
                <w:rFonts w:hint="eastAsia" w:cs="Times New Roman"/>
              </w:rPr>
              <w:t>0.652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n3</w:t>
            </w:r>
          </w:p>
        </w:tc>
        <w:tc>
          <w:tcPr>
            <w:tcW w:w="4508" w:type="dxa"/>
            <w:noWrap/>
            <w:vAlign w:val="center"/>
          </w:tcPr>
          <w:p>
            <w:pPr>
              <w:spacing w:line="360" w:lineRule="exact"/>
              <w:jc w:val="center"/>
              <w:rPr>
                <w:rFonts w:hAnsi="宋体" w:eastAsia="宋体"/>
                <w:szCs w:val="21"/>
              </w:rPr>
            </w:pPr>
            <w:r>
              <w:rPr>
                <w:rFonts w:hint="eastAsia" w:cs="Times New Roman"/>
              </w:rPr>
              <w:t>0.756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w:t>
            </w:r>
          </w:p>
        </w:tc>
        <w:tc>
          <w:tcPr>
            <w:tcW w:w="4508" w:type="dxa"/>
            <w:noWrap/>
            <w:vAlign w:val="center"/>
          </w:tcPr>
          <w:p>
            <w:pPr>
              <w:spacing w:line="360" w:lineRule="exact"/>
              <w:jc w:val="center"/>
              <w:rPr>
                <w:rFonts w:hAnsi="宋体" w:eastAsia="宋体"/>
                <w:szCs w:val="21"/>
              </w:rPr>
            </w:pPr>
            <w:r>
              <w:rPr>
                <w:rFonts w:hint="eastAsia" w:cs="Times New Roman"/>
              </w:rPr>
              <w:t>70.2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3</w:t>
            </w:r>
          </w:p>
        </w:tc>
        <w:tc>
          <w:tcPr>
            <w:tcW w:w="4508" w:type="dxa"/>
            <w:noWrap/>
            <w:vAlign w:val="center"/>
          </w:tcPr>
          <w:p>
            <w:pPr>
              <w:spacing w:line="360" w:lineRule="exact"/>
              <w:jc w:val="center"/>
              <w:rPr>
                <w:rFonts w:hAnsi="宋体" w:eastAsia="宋体"/>
                <w:szCs w:val="21"/>
              </w:rPr>
            </w:pPr>
            <w:r>
              <w:rPr>
                <w:rFonts w:hint="eastAsia" w:cs="Times New Roman"/>
              </w:rPr>
              <w:t>102.3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6</w:t>
            </w:r>
          </w:p>
        </w:tc>
        <w:tc>
          <w:tcPr>
            <w:tcW w:w="4508" w:type="dxa"/>
            <w:noWrap/>
            <w:vAlign w:val="center"/>
          </w:tcPr>
          <w:p>
            <w:pPr>
              <w:spacing w:line="360" w:lineRule="exact"/>
              <w:jc w:val="center"/>
              <w:rPr>
                <w:rFonts w:hAnsi="宋体" w:eastAsia="宋体"/>
                <w:szCs w:val="21"/>
              </w:rPr>
            </w:pPr>
            <w:r>
              <w:rPr>
                <w:rFonts w:hint="eastAsia" w:cs="Times New Roman"/>
              </w:rPr>
              <w:t>130.9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12</w:t>
            </w:r>
          </w:p>
        </w:tc>
        <w:tc>
          <w:tcPr>
            <w:tcW w:w="4508" w:type="dxa"/>
            <w:noWrap/>
            <w:vAlign w:val="center"/>
          </w:tcPr>
          <w:p>
            <w:pPr>
              <w:spacing w:line="360" w:lineRule="exact"/>
              <w:jc w:val="center"/>
              <w:rPr>
                <w:rFonts w:hAnsi="宋体" w:eastAsia="宋体"/>
                <w:szCs w:val="21"/>
              </w:rPr>
            </w:pPr>
            <w:r>
              <w:rPr>
                <w:rFonts w:hint="eastAsia" w:cs="Times New Roman"/>
              </w:rPr>
              <w:t>155.0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洪峰流量(m</w:t>
            </w:r>
            <w:r>
              <w:rPr>
                <w:rFonts w:hAnsi="宋体" w:eastAsia="宋体"/>
                <w:szCs w:val="21"/>
                <w:vertAlign w:val="superscript"/>
              </w:rPr>
              <w:t>3</w:t>
            </w:r>
            <w:r>
              <w:rPr>
                <w:rFonts w:hAnsi="宋体" w:eastAsia="宋体"/>
                <w:szCs w:val="21"/>
              </w:rPr>
              <w:t>/s)</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20.6</w:t>
            </w:r>
          </w:p>
        </w:tc>
      </w:tr>
    </w:tbl>
    <w:p>
      <w:pPr>
        <w:snapToGrid w:val="0"/>
        <w:spacing w:beforeLines="50" w:line="360" w:lineRule="auto"/>
        <w:ind w:firstLine="480" w:firstLineChars="200"/>
        <w:rPr>
          <w:rFonts w:eastAsia="宋体"/>
          <w:sz w:val="24"/>
          <w:szCs w:val="24"/>
        </w:rPr>
      </w:pPr>
      <w:r>
        <w:rPr>
          <w:rFonts w:hint="eastAsia"/>
          <w:sz w:val="24"/>
          <w:szCs w:val="24"/>
        </w:rPr>
        <w:t>根据以上</w:t>
      </w:r>
      <w:r>
        <w:rPr>
          <w:sz w:val="24"/>
          <w:szCs w:val="24"/>
        </w:rPr>
        <w:t>计算成果分析，两种计算方法的成果相差</w:t>
      </w:r>
      <w:r>
        <w:rPr>
          <w:rFonts w:hint="eastAsia"/>
          <w:sz w:val="24"/>
          <w:szCs w:val="24"/>
        </w:rPr>
        <w:t>不大，综合分析</w:t>
      </w:r>
      <w:r>
        <w:rPr>
          <w:sz w:val="24"/>
          <w:szCs w:val="24"/>
        </w:rPr>
        <w:t>从工程安全角度和计算方法的适用性考虑，本次设计采用</w:t>
      </w:r>
      <w:r>
        <w:rPr>
          <w:rFonts w:hint="eastAsia"/>
          <w:sz w:val="24"/>
          <w:szCs w:val="24"/>
        </w:rPr>
        <w:t>经验单位线法的</w:t>
      </w:r>
      <w:r>
        <w:rPr>
          <w:sz w:val="24"/>
          <w:szCs w:val="24"/>
        </w:rPr>
        <w:t>计算成果。</w:t>
      </w:r>
      <w:r>
        <w:rPr>
          <w:rFonts w:hint="eastAsia"/>
          <w:sz w:val="24"/>
          <w:szCs w:val="24"/>
        </w:rPr>
        <w:t>即秀江道县段10年一遇设计洪峰流量为20.6</w:t>
      </w:r>
      <w:r>
        <w:rPr>
          <w:rFonts w:hAnsi="宋体" w:eastAsia="宋体"/>
          <w:sz w:val="24"/>
          <w:szCs w:val="24"/>
        </w:rPr>
        <w:t>m</w:t>
      </w:r>
      <w:r>
        <w:rPr>
          <w:rFonts w:hAnsi="宋体" w:eastAsia="宋体"/>
          <w:sz w:val="24"/>
          <w:szCs w:val="24"/>
          <w:vertAlign w:val="superscript"/>
        </w:rPr>
        <w:t>3</w:t>
      </w:r>
      <w:r>
        <w:rPr>
          <w:rFonts w:hAnsi="宋体" w:eastAsia="宋体"/>
          <w:sz w:val="24"/>
          <w:szCs w:val="24"/>
        </w:rPr>
        <w:t>/s</w:t>
      </w:r>
      <w:r>
        <w:rPr>
          <w:rFonts w:hint="eastAsia" w:hAnsi="宋体"/>
          <w:sz w:val="24"/>
          <w:szCs w:val="24"/>
        </w:rPr>
        <w:t>。</w:t>
      </w:r>
    </w:p>
    <w:p>
      <w:pPr>
        <w:pStyle w:val="7"/>
        <w:spacing w:before="0" w:after="0" w:line="240" w:lineRule="auto"/>
        <w:ind w:left="0" w:firstLine="0"/>
      </w:pPr>
      <w:bookmarkStart w:id="116" w:name="_Toc26735"/>
      <w:r>
        <w:rPr>
          <w:rFonts w:hint="eastAsia"/>
        </w:rPr>
        <w:t>设计洪水计算成果合理性分析</w:t>
      </w:r>
      <w:bookmarkEnd w:id="116"/>
    </w:p>
    <w:p>
      <w:pPr>
        <w:spacing w:before="156" w:line="360" w:lineRule="auto"/>
        <w:ind w:firstLine="480"/>
        <w:rPr>
          <w:rFonts w:cs="Times New Roman"/>
          <w:sz w:val="28"/>
          <w:szCs w:val="28"/>
        </w:rPr>
      </w:pPr>
      <w:r>
        <w:rPr>
          <w:rFonts w:hint="eastAsia"/>
          <w:snapToGrid w:val="0"/>
          <w:sz w:val="28"/>
          <w:szCs w:val="28"/>
        </w:rPr>
        <w:t>邻近流域江村河道县段</w:t>
      </w:r>
      <w:r>
        <w:rPr>
          <w:rFonts w:ascii="Times New Roman" w:hAnsi="Times New Roman" w:eastAsia="宋体" w:cs="Times New Roman"/>
          <w:sz w:val="28"/>
          <w:szCs w:val="28"/>
        </w:rPr>
        <w:t>控制面积</w:t>
      </w:r>
      <w:r>
        <w:rPr>
          <w:rFonts w:hint="eastAsia" w:cs="Times New Roman"/>
          <w:sz w:val="28"/>
          <w:szCs w:val="28"/>
        </w:rPr>
        <w:t>21</w:t>
      </w:r>
      <w:r>
        <w:rPr>
          <w:rFonts w:ascii="Times New Roman" w:hAnsi="Times New Roman" w:eastAsia="宋体" w:cs="Times New Roman"/>
          <w:sz w:val="28"/>
          <w:szCs w:val="28"/>
        </w:rPr>
        <w:t>km</w:t>
      </w:r>
      <w:r>
        <w:rPr>
          <w:rFonts w:ascii="Times New Roman" w:hAnsi="Times New Roman" w:eastAsia="宋体" w:cs="Times New Roman"/>
          <w:sz w:val="28"/>
          <w:szCs w:val="28"/>
          <w:vertAlign w:val="superscript"/>
        </w:rPr>
        <w:t>2</w:t>
      </w:r>
      <w:r>
        <w:rPr>
          <w:rFonts w:hint="eastAsia" w:cs="Times New Roman"/>
          <w:sz w:val="28"/>
          <w:szCs w:val="28"/>
        </w:rPr>
        <w:t>，将两条河计算结果与其进行分析比较如表4.3.1.5.7-1。</w:t>
      </w:r>
    </w:p>
    <w:p>
      <w:pPr>
        <w:spacing w:before="156" w:line="360" w:lineRule="auto"/>
        <w:ind w:firstLine="105" w:firstLineChars="50"/>
        <w:jc w:val="left"/>
        <w:rPr>
          <w:rFonts w:eastAsia="宋体"/>
          <w:b/>
          <w:bCs/>
          <w:snapToGrid w:val="0"/>
          <w:sz w:val="24"/>
          <w:szCs w:val="24"/>
        </w:rPr>
      </w:pPr>
      <w:r>
        <w:rPr>
          <w:rFonts w:hint="eastAsia" w:hAnsi="宋体"/>
          <w:b/>
          <w:bCs/>
          <w:snapToGrid w:val="0"/>
          <w:szCs w:val="21"/>
        </w:rPr>
        <w:t>表4.3.1.5.7-1          秀江与中河</w:t>
      </w:r>
      <w:r>
        <w:rPr>
          <w:rFonts w:hAnsi="宋体"/>
          <w:b/>
          <w:bCs/>
          <w:snapToGrid w:val="0"/>
          <w:szCs w:val="21"/>
        </w:rPr>
        <w:t>设计洪水比较</w:t>
      </w:r>
      <w:r>
        <w:rPr>
          <w:rFonts w:hint="eastAsia" w:hAnsi="宋体"/>
          <w:b/>
          <w:bCs/>
          <w:snapToGrid w:val="0"/>
          <w:szCs w:val="21"/>
        </w:rPr>
        <w:t>（P=10%）</w:t>
      </w:r>
    </w:p>
    <w:tbl>
      <w:tblPr>
        <w:tblStyle w:val="22"/>
        <w:tblW w:w="83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4"/>
        <w:gridCol w:w="2055"/>
        <w:gridCol w:w="1890"/>
        <w:gridCol w:w="2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站名</w:t>
            </w:r>
          </w:p>
        </w:tc>
        <w:tc>
          <w:tcPr>
            <w:tcW w:w="2055" w:type="dxa"/>
            <w:noWrap/>
            <w:vAlign w:val="center"/>
          </w:tcPr>
          <w:p>
            <w:pPr>
              <w:jc w:val="center"/>
              <w:rPr>
                <w:rFonts w:eastAsia="宋体"/>
                <w:snapToGrid w:val="0"/>
                <w:szCs w:val="21"/>
              </w:rPr>
            </w:pPr>
            <w:r>
              <w:rPr>
                <w:rFonts w:hint="eastAsia"/>
                <w:snapToGrid w:val="0"/>
                <w:szCs w:val="21"/>
              </w:rPr>
              <w:t>流域面积（</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rFonts w:hint="eastAsia"/>
                <w:snapToGrid w:val="0"/>
                <w:szCs w:val="21"/>
              </w:rPr>
              <w:t>）</w:t>
            </w:r>
          </w:p>
        </w:tc>
        <w:tc>
          <w:tcPr>
            <w:tcW w:w="1890" w:type="dxa"/>
            <w:noWrap/>
            <w:vAlign w:val="center"/>
          </w:tcPr>
          <w:p>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秀江</w:t>
            </w:r>
          </w:p>
        </w:tc>
        <w:tc>
          <w:tcPr>
            <w:tcW w:w="2055" w:type="dxa"/>
            <w:noWrap/>
            <w:vAlign w:val="center"/>
          </w:tcPr>
          <w:p>
            <w:pPr>
              <w:jc w:val="center"/>
              <w:rPr>
                <w:snapToGrid w:val="0"/>
                <w:szCs w:val="21"/>
              </w:rPr>
            </w:pPr>
            <w:r>
              <w:rPr>
                <w:rFonts w:hint="eastAsia"/>
                <w:snapToGrid w:val="0"/>
                <w:szCs w:val="21"/>
              </w:rPr>
              <w:t>3.5</w:t>
            </w:r>
          </w:p>
        </w:tc>
        <w:tc>
          <w:tcPr>
            <w:tcW w:w="1890" w:type="dxa"/>
            <w:noWrap/>
            <w:vAlign w:val="center"/>
          </w:tcPr>
          <w:p>
            <w:pPr>
              <w:jc w:val="center"/>
              <w:rPr>
                <w:snapToGrid w:val="0"/>
                <w:szCs w:val="21"/>
              </w:rPr>
            </w:pPr>
            <w:r>
              <w:rPr>
                <w:rFonts w:hint="eastAsia"/>
                <w:snapToGrid w:val="0"/>
                <w:szCs w:val="21"/>
              </w:rPr>
              <w:t>20.6</w:t>
            </w:r>
          </w:p>
        </w:tc>
        <w:tc>
          <w:tcPr>
            <w:tcW w:w="2501" w:type="dxa"/>
            <w:noWrap/>
            <w:vAlign w:val="center"/>
          </w:tcPr>
          <w:p>
            <w:pPr>
              <w:jc w:val="center"/>
              <w:rPr>
                <w:snapToGrid w:val="0"/>
                <w:szCs w:val="21"/>
              </w:rPr>
            </w:pPr>
            <w:r>
              <w:rPr>
                <w:rFonts w:hint="eastAsia"/>
                <w:snapToGrid w:val="0"/>
                <w:szCs w:val="21"/>
              </w:rPr>
              <w:t>5.89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914" w:type="dxa"/>
            <w:noWrap/>
            <w:vAlign w:val="center"/>
          </w:tcPr>
          <w:p>
            <w:pPr>
              <w:widowControl/>
              <w:jc w:val="center"/>
              <w:rPr>
                <w:rFonts w:hAnsi="宋体" w:eastAsia="宋体"/>
                <w:snapToGrid w:val="0"/>
                <w:szCs w:val="21"/>
              </w:rPr>
            </w:pPr>
            <w:r>
              <w:rPr>
                <w:rFonts w:hint="eastAsia" w:hAnsi="宋体"/>
                <w:snapToGrid w:val="0"/>
                <w:szCs w:val="21"/>
              </w:rPr>
              <w:t>江村河</w:t>
            </w:r>
          </w:p>
        </w:tc>
        <w:tc>
          <w:tcPr>
            <w:tcW w:w="2055" w:type="dxa"/>
            <w:noWrap/>
            <w:vAlign w:val="center"/>
          </w:tcPr>
          <w:p>
            <w:pPr>
              <w:snapToGrid w:val="0"/>
              <w:spacing w:line="400" w:lineRule="exact"/>
              <w:jc w:val="center"/>
              <w:rPr>
                <w:rFonts w:eastAsia="宋体"/>
                <w:snapToGrid w:val="0"/>
                <w:szCs w:val="21"/>
              </w:rPr>
            </w:pPr>
            <w:r>
              <w:rPr>
                <w:rFonts w:hint="eastAsia"/>
                <w:snapToGrid w:val="0"/>
                <w:szCs w:val="21"/>
              </w:rPr>
              <w:t>21.0</w:t>
            </w:r>
          </w:p>
        </w:tc>
        <w:tc>
          <w:tcPr>
            <w:tcW w:w="1890" w:type="dxa"/>
            <w:noWrap/>
            <w:vAlign w:val="center"/>
          </w:tcPr>
          <w:p>
            <w:pPr>
              <w:snapToGrid w:val="0"/>
              <w:spacing w:line="400" w:lineRule="exact"/>
              <w:jc w:val="center"/>
              <w:rPr>
                <w:rFonts w:eastAsia="宋体"/>
                <w:snapToGrid w:val="0"/>
                <w:szCs w:val="21"/>
              </w:rPr>
            </w:pPr>
            <w:r>
              <w:rPr>
                <w:rFonts w:hint="eastAsia"/>
                <w:snapToGrid w:val="0"/>
                <w:szCs w:val="21"/>
              </w:rPr>
              <w:t>73.1</w:t>
            </w:r>
          </w:p>
        </w:tc>
        <w:tc>
          <w:tcPr>
            <w:tcW w:w="2501" w:type="dxa"/>
            <w:noWrap/>
            <w:vAlign w:val="center"/>
          </w:tcPr>
          <w:p>
            <w:pPr>
              <w:snapToGrid w:val="0"/>
              <w:spacing w:line="400" w:lineRule="exact"/>
              <w:jc w:val="center"/>
              <w:rPr>
                <w:rFonts w:eastAsia="宋体"/>
                <w:snapToGrid w:val="0"/>
                <w:szCs w:val="21"/>
              </w:rPr>
            </w:pPr>
            <w:r>
              <w:rPr>
                <w:rFonts w:hint="eastAsia"/>
                <w:snapToGrid w:val="0"/>
                <w:szCs w:val="21"/>
              </w:rPr>
              <w:t>3.48</w:t>
            </w:r>
          </w:p>
        </w:tc>
      </w:tr>
    </w:tbl>
    <w:p>
      <w:pPr>
        <w:spacing w:before="156" w:line="360" w:lineRule="auto"/>
        <w:ind w:firstLine="480"/>
        <w:rPr>
          <w:snapToGrid w:val="0"/>
          <w:sz w:val="28"/>
          <w:szCs w:val="28"/>
        </w:rPr>
      </w:pPr>
      <w:r>
        <w:rPr>
          <w:snapToGrid w:val="0"/>
          <w:sz w:val="28"/>
          <w:szCs w:val="28"/>
        </w:rPr>
        <w:t>从</w:t>
      </w:r>
      <w:r>
        <w:rPr>
          <w:rFonts w:hint="eastAsia"/>
          <w:snapToGrid w:val="0"/>
          <w:sz w:val="28"/>
          <w:szCs w:val="28"/>
        </w:rPr>
        <w:t>上表</w:t>
      </w:r>
      <w:r>
        <w:rPr>
          <w:snapToGrid w:val="0"/>
          <w:sz w:val="28"/>
          <w:szCs w:val="28"/>
        </w:rPr>
        <w:t>可以看出，</w:t>
      </w:r>
      <w:r>
        <w:rPr>
          <w:rFonts w:hint="eastAsia"/>
          <w:snapToGrid w:val="0"/>
          <w:sz w:val="28"/>
          <w:szCs w:val="28"/>
        </w:rPr>
        <w:t>两条河中秀江的控制流域面积小，洪峰模数较大，且</w:t>
      </w:r>
      <w:r>
        <w:rPr>
          <w:snapToGrid w:val="0"/>
          <w:sz w:val="28"/>
          <w:szCs w:val="28"/>
        </w:rPr>
        <w:t>设计洪水统计参数无异常变化，符合地区变化规律，统计参数符合本流域地区变化规律并与流域降雨特性一致，统计参数合理。故</w:t>
      </w:r>
      <w:r>
        <w:rPr>
          <w:rFonts w:hint="eastAsia"/>
          <w:snapToGrid w:val="0"/>
          <w:sz w:val="28"/>
          <w:szCs w:val="28"/>
        </w:rPr>
        <w:t>本次秀江</w:t>
      </w:r>
      <w:r>
        <w:rPr>
          <w:snapToGrid w:val="0"/>
          <w:sz w:val="28"/>
          <w:szCs w:val="28"/>
        </w:rPr>
        <w:t>设计洪水成果较为合理。</w:t>
      </w:r>
    </w:p>
    <w:p>
      <w:pPr>
        <w:pStyle w:val="6"/>
        <w:spacing w:before="0" w:after="0" w:line="240" w:lineRule="auto"/>
        <w:ind w:left="0" w:firstLine="0"/>
      </w:pPr>
      <w:bookmarkStart w:id="117" w:name="_Toc31346"/>
      <w:r>
        <w:rPr>
          <w:rFonts w:hint="eastAsia"/>
        </w:rPr>
        <w:t>设计水位计算</w:t>
      </w:r>
      <w:bookmarkEnd w:id="117"/>
    </w:p>
    <w:p>
      <w:pPr>
        <w:pStyle w:val="7"/>
        <w:spacing w:before="0" w:after="0" w:line="240" w:lineRule="auto"/>
        <w:ind w:left="0" w:firstLine="0"/>
        <w:rPr>
          <w:rFonts w:ascii="Times New Roman" w:hAnsi="Times New Roman" w:cs="Times New Roman"/>
        </w:rPr>
      </w:pPr>
      <w:bookmarkStart w:id="118" w:name="_Toc4465"/>
      <w:r>
        <w:rPr>
          <w:rFonts w:hint="eastAsia"/>
        </w:rPr>
        <w:t>设计洪峰流量</w:t>
      </w:r>
      <w:bookmarkEnd w:id="118"/>
    </w:p>
    <w:p>
      <w:pPr>
        <w:snapToGrid w:val="0"/>
        <w:spacing w:beforeLines="50" w:line="360" w:lineRule="auto"/>
        <w:ind w:firstLine="560" w:firstLineChars="200"/>
        <w:rPr>
          <w:rFonts w:eastAsia="宋体"/>
          <w:sz w:val="24"/>
          <w:szCs w:val="24"/>
        </w:rPr>
      </w:pPr>
      <w:r>
        <w:rPr>
          <w:rFonts w:hint="eastAsia"/>
          <w:sz w:val="28"/>
          <w:szCs w:val="28"/>
        </w:rPr>
        <w:t>秀江道县河段控制流域面积相对较小，且范围内没有较大支流汇入，故设计洪水不再分段计算，秀江道县河段10年一遇设计洪峰流量为20.6</w:t>
      </w:r>
      <w:r>
        <w:rPr>
          <w:rFonts w:hAnsi="宋体" w:eastAsia="宋体"/>
          <w:sz w:val="28"/>
          <w:szCs w:val="28"/>
        </w:rPr>
        <w:t>m</w:t>
      </w:r>
      <w:r>
        <w:rPr>
          <w:rFonts w:hAnsi="宋体" w:eastAsia="宋体"/>
          <w:sz w:val="28"/>
          <w:szCs w:val="28"/>
          <w:vertAlign w:val="superscript"/>
        </w:rPr>
        <w:t>3</w:t>
      </w:r>
      <w:r>
        <w:rPr>
          <w:rFonts w:hAnsi="宋体" w:eastAsia="宋体"/>
          <w:sz w:val="28"/>
          <w:szCs w:val="28"/>
        </w:rPr>
        <w:t>/s</w:t>
      </w:r>
      <w:r>
        <w:rPr>
          <w:rFonts w:hint="eastAsia" w:hAnsi="宋体"/>
          <w:sz w:val="28"/>
          <w:szCs w:val="28"/>
        </w:rPr>
        <w:t>。</w:t>
      </w:r>
    </w:p>
    <w:p>
      <w:pPr>
        <w:pStyle w:val="7"/>
        <w:spacing w:before="0" w:after="0" w:line="240" w:lineRule="auto"/>
        <w:ind w:left="0" w:firstLine="0"/>
      </w:pPr>
      <w:bookmarkStart w:id="119" w:name="_Toc23438"/>
      <w:r>
        <w:rPr>
          <w:rFonts w:hint="eastAsia"/>
        </w:rPr>
        <w:t>控制断面起始水位</w:t>
      </w:r>
      <w:bookmarkEnd w:id="119"/>
    </w:p>
    <w:p>
      <w:pPr>
        <w:snapToGrid w:val="0"/>
        <w:spacing w:beforeLines="50" w:line="360" w:lineRule="auto"/>
        <w:ind w:firstLine="560" w:firstLineChars="200"/>
        <w:jc w:val="left"/>
        <w:rPr>
          <w:sz w:val="28"/>
          <w:szCs w:val="28"/>
        </w:rPr>
      </w:pPr>
      <w:r>
        <w:rPr>
          <w:rFonts w:eastAsia="宋体"/>
          <w:sz w:val="28"/>
          <w:szCs w:val="28"/>
        </w:rPr>
        <w:t>本次</w:t>
      </w:r>
      <w:r>
        <w:rPr>
          <w:rFonts w:hint="eastAsia" w:eastAsia="宋体"/>
          <w:sz w:val="28"/>
          <w:szCs w:val="28"/>
        </w:rPr>
        <w:t>选取</w:t>
      </w:r>
      <w:r>
        <w:rPr>
          <w:rFonts w:hint="eastAsia"/>
          <w:sz w:val="28"/>
          <w:szCs w:val="28"/>
        </w:rPr>
        <w:t>秀江道县段下游省界桩号K0+000处</w:t>
      </w:r>
      <w:r>
        <w:rPr>
          <w:rFonts w:hint="eastAsia" w:eastAsia="宋体"/>
          <w:sz w:val="28"/>
          <w:szCs w:val="28"/>
        </w:rPr>
        <w:t>的断面作为起始控制断面，</w:t>
      </w:r>
      <w:r>
        <w:rPr>
          <w:sz w:val="28"/>
          <w:szCs w:val="28"/>
        </w:rPr>
        <w:t>断面所处河段</w:t>
      </w:r>
      <w:r>
        <w:rPr>
          <w:rFonts w:hint="eastAsia"/>
          <w:sz w:val="28"/>
          <w:szCs w:val="28"/>
        </w:rPr>
        <w:t>均比较</w:t>
      </w:r>
      <w:r>
        <w:rPr>
          <w:sz w:val="28"/>
          <w:szCs w:val="28"/>
        </w:rPr>
        <w:t>顺直，坡降较缓，符合河道均匀流条件。利用曼宁公式计算起始断面的天然水位流量关系曲线：</w:t>
      </w:r>
    </w:p>
    <w:p>
      <w:pPr>
        <w:snapToGrid w:val="0"/>
        <w:spacing w:beforeLines="50" w:line="360" w:lineRule="auto"/>
        <w:ind w:firstLine="1400" w:firstLineChars="500"/>
        <w:rPr>
          <w:sz w:val="28"/>
          <w:szCs w:val="28"/>
        </w:rPr>
      </w:pPr>
      <w:r>
        <w:rPr>
          <w:position w:val="-24"/>
          <w:sz w:val="28"/>
          <w:szCs w:val="28"/>
        </w:rPr>
        <w:object>
          <v:shape id="_x0000_i1032" o:spt="75" type="#_x0000_t75" style="height:33.3pt;width:60.2pt;" o:ole="t" filled="f" o:preferrelative="t" stroked="f" coordsize="21600,21600">
            <v:path/>
            <v:fill on="f" focussize="0,0"/>
            <v:stroke on="f" joinstyle="miter"/>
            <v:imagedata r:id="rId26" o:title=""/>
            <o:lock v:ext="edit" aspectratio="t"/>
            <w10:wrap type="none"/>
            <w10:anchorlock/>
          </v:shape>
          <o:OLEObject Type="Embed" ProgID="Equation.3" ShapeID="_x0000_i1032" DrawAspect="Content" ObjectID="_1468075732" r:id="rId25">
            <o:LockedField>false</o:LockedField>
          </o:OLEObject>
        </w:object>
      </w:r>
    </w:p>
    <w:p>
      <w:pPr>
        <w:snapToGrid w:val="0"/>
        <w:spacing w:beforeLines="50" w:line="360" w:lineRule="auto"/>
        <w:ind w:firstLine="560" w:firstLineChars="200"/>
        <w:rPr>
          <w:sz w:val="28"/>
          <w:szCs w:val="28"/>
        </w:rPr>
      </w:pPr>
      <w:r>
        <w:rPr>
          <w:sz w:val="28"/>
          <w:szCs w:val="28"/>
        </w:rPr>
        <w:t>式中：Q—流量，m</w:t>
      </w:r>
      <w:r>
        <w:rPr>
          <w:sz w:val="28"/>
          <w:szCs w:val="28"/>
          <w:vertAlign w:val="superscript"/>
        </w:rPr>
        <w:t>3</w:t>
      </w:r>
      <w:r>
        <w:rPr>
          <w:sz w:val="28"/>
          <w:szCs w:val="28"/>
        </w:rPr>
        <w:t>/s；</w:t>
      </w:r>
    </w:p>
    <w:p>
      <w:pPr>
        <w:snapToGrid w:val="0"/>
        <w:spacing w:beforeLines="50" w:line="360" w:lineRule="auto"/>
        <w:ind w:firstLine="560" w:firstLineChars="200"/>
        <w:rPr>
          <w:sz w:val="28"/>
          <w:szCs w:val="28"/>
        </w:rPr>
      </w:pPr>
      <w:r>
        <w:rPr>
          <w:sz w:val="28"/>
          <w:szCs w:val="28"/>
        </w:rPr>
        <w:t xml:space="preserve">      A—过水断面面积，m</w:t>
      </w:r>
      <w:r>
        <w:rPr>
          <w:sz w:val="28"/>
          <w:szCs w:val="28"/>
          <w:vertAlign w:val="superscript"/>
        </w:rPr>
        <w:t>2</w:t>
      </w:r>
      <w:r>
        <w:rPr>
          <w:sz w:val="28"/>
          <w:szCs w:val="28"/>
        </w:rPr>
        <w:t>；</w:t>
      </w:r>
    </w:p>
    <w:p>
      <w:pPr>
        <w:snapToGrid w:val="0"/>
        <w:spacing w:beforeLines="50" w:line="360" w:lineRule="auto"/>
        <w:ind w:firstLine="560" w:firstLineChars="200"/>
        <w:rPr>
          <w:sz w:val="28"/>
          <w:szCs w:val="28"/>
        </w:rPr>
      </w:pPr>
      <w:r>
        <w:rPr>
          <w:sz w:val="28"/>
          <w:szCs w:val="28"/>
        </w:rPr>
        <w:t xml:space="preserve">      n—糙率；</w:t>
      </w:r>
    </w:p>
    <w:p>
      <w:pPr>
        <w:snapToGrid w:val="0"/>
        <w:spacing w:beforeLines="50" w:line="360" w:lineRule="auto"/>
        <w:ind w:firstLine="560" w:firstLineChars="200"/>
        <w:rPr>
          <w:sz w:val="28"/>
          <w:szCs w:val="28"/>
        </w:rPr>
      </w:pPr>
      <w:r>
        <w:rPr>
          <w:sz w:val="28"/>
          <w:szCs w:val="28"/>
        </w:rPr>
        <w:t xml:space="preserve">      R—水力半径，m；</w:t>
      </w:r>
    </w:p>
    <w:p>
      <w:pPr>
        <w:snapToGrid w:val="0"/>
        <w:spacing w:beforeLines="50" w:line="360" w:lineRule="auto"/>
        <w:ind w:firstLine="560" w:firstLineChars="200"/>
        <w:rPr>
          <w:sz w:val="28"/>
          <w:szCs w:val="28"/>
        </w:rPr>
      </w:pPr>
      <w:r>
        <w:rPr>
          <w:sz w:val="28"/>
          <w:szCs w:val="28"/>
        </w:rPr>
        <w:t xml:space="preserve">      i—纵坡；</w:t>
      </w:r>
    </w:p>
    <w:p>
      <w:pPr>
        <w:snapToGrid w:val="0"/>
        <w:spacing w:beforeLines="50" w:line="360" w:lineRule="auto"/>
        <w:ind w:firstLine="560" w:firstLineChars="200"/>
        <w:rPr>
          <w:sz w:val="28"/>
          <w:szCs w:val="28"/>
        </w:rPr>
      </w:pPr>
      <w:r>
        <w:rPr>
          <w:sz w:val="28"/>
          <w:szCs w:val="28"/>
        </w:rPr>
        <w:t>经计算，</w:t>
      </w:r>
      <w:r>
        <w:rPr>
          <w:rFonts w:hint="eastAsia"/>
          <w:sz w:val="28"/>
          <w:szCs w:val="28"/>
        </w:rPr>
        <w:t>秀江道县段</w:t>
      </w:r>
      <w:r>
        <w:rPr>
          <w:sz w:val="28"/>
          <w:szCs w:val="28"/>
        </w:rPr>
        <w:t>起始断面10年一遇设计洪水位为</w:t>
      </w:r>
      <w:r>
        <w:rPr>
          <w:rFonts w:hint="eastAsia"/>
          <w:sz w:val="28"/>
          <w:szCs w:val="28"/>
        </w:rPr>
        <w:t>1644.48</w:t>
      </w:r>
      <w:r>
        <w:rPr>
          <w:sz w:val="28"/>
          <w:szCs w:val="28"/>
        </w:rPr>
        <w:t>m</w:t>
      </w:r>
      <w:r>
        <w:rPr>
          <w:rFonts w:hint="eastAsia"/>
          <w:sz w:val="28"/>
          <w:szCs w:val="28"/>
        </w:rPr>
        <w:t>。</w:t>
      </w:r>
    </w:p>
    <w:p>
      <w:pPr>
        <w:pStyle w:val="7"/>
        <w:spacing w:before="0" w:after="0" w:line="240" w:lineRule="auto"/>
        <w:ind w:left="0" w:firstLine="0"/>
      </w:pPr>
      <w:bookmarkStart w:id="120" w:name="_Toc11612"/>
      <w:r>
        <w:rPr>
          <w:rFonts w:hint="eastAsia"/>
        </w:rPr>
        <w:t>糙率分析</w:t>
      </w:r>
      <w:bookmarkEnd w:id="120"/>
    </w:p>
    <w:p>
      <w:pPr>
        <w:snapToGrid w:val="0"/>
        <w:spacing w:beforeLines="50" w:line="360" w:lineRule="auto"/>
        <w:ind w:firstLine="560" w:firstLineChars="200"/>
        <w:jc w:val="left"/>
        <w:rPr>
          <w:sz w:val="28"/>
          <w:szCs w:val="28"/>
        </w:rPr>
      </w:pPr>
      <w:r>
        <w:rPr>
          <w:rFonts w:hint="eastAsia"/>
          <w:sz w:val="28"/>
          <w:szCs w:val="28"/>
        </w:rPr>
        <w:t>由于流域内河段无实测的糙率值和历史调查资料，本报告通过现场调查流域内各段河道糙率情况，根据山区小河道情况和河海大学出版的《水力学》表9.5列出的山区河流糙率值，秀江道县段糙率系数n取0.045。</w:t>
      </w:r>
    </w:p>
    <w:p>
      <w:pPr>
        <w:pStyle w:val="7"/>
        <w:spacing w:before="0" w:after="0" w:line="240" w:lineRule="auto"/>
        <w:ind w:left="0" w:firstLine="0"/>
      </w:pPr>
      <w:bookmarkStart w:id="121" w:name="_Toc20273"/>
      <w:r>
        <w:rPr>
          <w:rFonts w:hint="eastAsia"/>
        </w:rPr>
        <w:t>设计洪水位计算</w:t>
      </w:r>
      <w:bookmarkEnd w:id="121"/>
    </w:p>
    <w:p>
      <w:pPr>
        <w:spacing w:beforeLines="50" w:line="360" w:lineRule="auto"/>
        <w:ind w:firstLine="560" w:firstLineChars="200"/>
        <w:rPr>
          <w:spacing w:val="-6"/>
          <w:sz w:val="28"/>
          <w:szCs w:val="28"/>
        </w:rPr>
      </w:pPr>
      <w:r>
        <w:rPr>
          <w:rFonts w:hint="eastAsia"/>
          <w:sz w:val="28"/>
          <w:szCs w:val="28"/>
        </w:rPr>
        <w:t>秀江道县</w:t>
      </w:r>
      <w:r>
        <w:rPr>
          <w:rFonts w:hint="eastAsia"/>
          <w:spacing w:val="1"/>
          <w:sz w:val="28"/>
          <w:szCs w:val="28"/>
        </w:rPr>
        <w:t>河段全长3.9km，设计洪水位</w:t>
      </w:r>
      <w:r>
        <w:rPr>
          <w:rFonts w:hint="eastAsia"/>
          <w:sz w:val="28"/>
          <w:szCs w:val="28"/>
        </w:rPr>
        <w:t>采用本次计算的设计洪水</w:t>
      </w:r>
      <w:r>
        <w:rPr>
          <w:rFonts w:hint="eastAsia"/>
          <w:spacing w:val="1"/>
          <w:sz w:val="28"/>
          <w:szCs w:val="28"/>
        </w:rPr>
        <w:t>，</w:t>
      </w:r>
      <w:r>
        <w:rPr>
          <w:rFonts w:hint="eastAsia"/>
          <w:spacing w:val="-6"/>
          <w:sz w:val="28"/>
          <w:szCs w:val="28"/>
        </w:rPr>
        <w:t>以控制断面回水推算求得设计洪水位，根据</w:t>
      </w:r>
      <w:r>
        <w:rPr>
          <w:spacing w:val="-6"/>
          <w:sz w:val="28"/>
          <w:szCs w:val="28"/>
        </w:rPr>
        <w:t>河道水力学水面曲线计算公式</w:t>
      </w:r>
      <w:r>
        <w:rPr>
          <w:rFonts w:hint="eastAsia"/>
          <w:spacing w:val="-6"/>
          <w:sz w:val="28"/>
          <w:szCs w:val="28"/>
        </w:rPr>
        <w:t>：</w:t>
      </w:r>
    </w:p>
    <w:p>
      <w:pPr>
        <w:snapToGrid w:val="0"/>
        <w:spacing w:beforeLines="50" w:line="360" w:lineRule="auto"/>
        <w:ind w:right="31" w:rightChars="15" w:firstLine="570"/>
        <w:rPr>
          <w:sz w:val="28"/>
          <w:szCs w:val="28"/>
        </w:rPr>
      </w:pPr>
      <w:r>
        <w:rPr>
          <w:position w:val="-54"/>
          <w:sz w:val="28"/>
          <w:szCs w:val="28"/>
        </w:rPr>
        <w:object>
          <v:shape id="_x0000_i1033" o:spt="75" type="#_x0000_t75" style="height:50.5pt;width:251.45pt;" o:ole="t"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27">
            <o:LockedField>false</o:LockedField>
          </o:OLEObject>
        </w:object>
      </w:r>
    </w:p>
    <w:p>
      <w:pPr>
        <w:snapToGrid w:val="0"/>
        <w:spacing w:beforeLines="50" w:line="360" w:lineRule="auto"/>
        <w:ind w:right="31" w:rightChars="15" w:firstLine="570"/>
        <w:rPr>
          <w:sz w:val="28"/>
          <w:szCs w:val="28"/>
        </w:rPr>
      </w:pPr>
      <w:r>
        <w:rPr>
          <w:rFonts w:hint="eastAsia"/>
          <w:sz w:val="28"/>
          <w:szCs w:val="28"/>
        </w:rPr>
        <w:t>式中：</w:t>
      </w:r>
    </w:p>
    <w:p>
      <w:pPr>
        <w:snapToGrid w:val="0"/>
        <w:spacing w:beforeLines="25" w:line="360" w:lineRule="auto"/>
        <w:ind w:right="31" w:rightChars="15" w:firstLine="570"/>
        <w:rPr>
          <w:sz w:val="28"/>
          <w:szCs w:val="28"/>
        </w:rPr>
      </w:pPr>
      <w:r>
        <w:rPr>
          <w:rFonts w:hint="eastAsia"/>
          <w:sz w:val="28"/>
          <w:szCs w:val="28"/>
        </w:rPr>
        <w:t>Z</w:t>
      </w:r>
      <w:r>
        <w:rPr>
          <w:rFonts w:hint="eastAsia"/>
          <w:sz w:val="28"/>
          <w:szCs w:val="28"/>
          <w:vertAlign w:val="subscript"/>
        </w:rPr>
        <w:t>上</w:t>
      </w:r>
      <w:r>
        <w:rPr>
          <w:rFonts w:hint="eastAsia"/>
          <w:sz w:val="28"/>
          <w:szCs w:val="28"/>
        </w:rPr>
        <w:t>、Z</w:t>
      </w:r>
      <w:r>
        <w:rPr>
          <w:rFonts w:hint="eastAsia"/>
          <w:sz w:val="28"/>
          <w:szCs w:val="28"/>
          <w:vertAlign w:val="subscript"/>
        </w:rPr>
        <w:t>下</w:t>
      </w:r>
      <w:r>
        <w:rPr>
          <w:rFonts w:hint="eastAsia"/>
          <w:sz w:val="28"/>
          <w:szCs w:val="28"/>
        </w:rPr>
        <w:t>——上、下断面水位，</w:t>
      </w:r>
      <w:r>
        <w:rPr>
          <w:sz w:val="28"/>
          <w:szCs w:val="28"/>
        </w:rPr>
        <w:t>m</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V</w:t>
      </w:r>
      <w:r>
        <w:rPr>
          <w:rFonts w:hint="eastAsia"/>
          <w:sz w:val="28"/>
          <w:szCs w:val="28"/>
          <w:vertAlign w:val="subscript"/>
        </w:rPr>
        <w:t>上</w:t>
      </w:r>
      <w:r>
        <w:rPr>
          <w:rFonts w:hint="eastAsia"/>
          <w:sz w:val="28"/>
          <w:szCs w:val="28"/>
        </w:rPr>
        <w:t>、V</w:t>
      </w:r>
      <w:r>
        <w:rPr>
          <w:rFonts w:hint="eastAsia"/>
          <w:sz w:val="28"/>
          <w:szCs w:val="28"/>
          <w:vertAlign w:val="subscript"/>
        </w:rPr>
        <w:t>下</w:t>
      </w:r>
      <w:r>
        <w:rPr>
          <w:rFonts w:hint="eastAsia"/>
          <w:sz w:val="28"/>
          <w:szCs w:val="28"/>
        </w:rPr>
        <w:t>——上、下断面流速，</w:t>
      </w:r>
      <w:r>
        <w:rPr>
          <w:sz w:val="28"/>
          <w:szCs w:val="28"/>
        </w:rPr>
        <w:t>m/s</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Q——河道流量，</w:t>
      </w:r>
      <w:r>
        <w:rPr>
          <w:sz w:val="28"/>
          <w:szCs w:val="28"/>
        </w:rPr>
        <w:t>m</w:t>
      </w:r>
      <w:r>
        <w:rPr>
          <w:sz w:val="28"/>
          <w:szCs w:val="28"/>
          <w:vertAlign w:val="superscript"/>
        </w:rPr>
        <w:t>3</w:t>
      </w:r>
      <w:r>
        <w:rPr>
          <w:sz w:val="28"/>
          <w:szCs w:val="28"/>
        </w:rPr>
        <w:t>/s</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Δs——上下断面间距，</w:t>
      </w:r>
      <w:r>
        <w:rPr>
          <w:sz w:val="28"/>
          <w:szCs w:val="28"/>
        </w:rPr>
        <w:t>m</w:t>
      </w:r>
      <w:r>
        <w:rPr>
          <w:rFonts w:hint="eastAsia"/>
          <w:sz w:val="28"/>
          <w:szCs w:val="28"/>
        </w:rPr>
        <w:t>；</w:t>
      </w:r>
    </w:p>
    <w:p>
      <w:pPr>
        <w:snapToGrid w:val="0"/>
        <w:spacing w:beforeLines="25" w:line="360" w:lineRule="auto"/>
        <w:ind w:right="31" w:rightChars="15" w:firstLine="570"/>
        <w:rPr>
          <w:sz w:val="28"/>
          <w:szCs w:val="28"/>
        </w:rPr>
      </w:pPr>
      <w:r>
        <w:rPr>
          <w:rFonts w:hint="eastAsia"/>
          <w:sz w:val="28"/>
          <w:szCs w:val="28"/>
        </w:rPr>
        <w:t>α——动能校正系数，取1.05；</w:t>
      </w:r>
    </w:p>
    <w:p>
      <w:pPr>
        <w:snapToGrid w:val="0"/>
        <w:spacing w:beforeLines="25" w:line="360" w:lineRule="auto"/>
        <w:ind w:right="31" w:rightChars="15" w:firstLine="570"/>
        <w:rPr>
          <w:sz w:val="28"/>
          <w:szCs w:val="28"/>
          <w:vertAlign w:val="superscript"/>
        </w:rPr>
      </w:pPr>
      <w:r>
        <w:rPr>
          <w:position w:val="-6"/>
          <w:sz w:val="28"/>
          <w:szCs w:val="28"/>
        </w:rPr>
        <w:object>
          <v:shape id="_x0000_i1034" o:spt="75" type="#_x0000_t75" style="height:21.5pt;width:9.65pt;" o:ole="t" filled="f" o:preferrelative="t" stroked="f" coordsize="21600,21600">
            <v:path/>
            <v:fill on="f" focussize="0,0"/>
            <v:stroke on="f" joinstyle="miter"/>
            <v:imagedata r:id="rId16" o:title=""/>
            <o:lock v:ext="edit" aspectratio="t"/>
            <w10:wrap type="none"/>
            <w10:anchorlock/>
          </v:shape>
          <o:OLEObject Type="Embed" ProgID="Equation.3" ShapeID="_x0000_i1034" DrawAspect="Content" ObjectID="_1468075734" r:id="rId28">
            <o:LockedField>false</o:LockedField>
          </o:OLEObject>
        </w:object>
      </w:r>
      <w:r>
        <w:rPr>
          <w:rFonts w:hint="eastAsia"/>
          <w:sz w:val="28"/>
          <w:szCs w:val="28"/>
        </w:rPr>
        <w:t>——河段平均流量模数,</w:t>
      </w:r>
      <w:r>
        <w:rPr>
          <w:position w:val="-6"/>
          <w:sz w:val="28"/>
          <w:szCs w:val="28"/>
        </w:rPr>
        <w:object>
          <v:shape id="_x0000_i1035" o:spt="75" type="#_x0000_t75" style="height:21.5pt;width:9.65pt;" o:ole="t" filled="f" o:preferrelative="t" stroked="f" coordsize="21600,21600">
            <v:path/>
            <v:fill on="f" focussize="0,0"/>
            <v:stroke on="f" joinstyle="miter"/>
            <v:imagedata r:id="rId18" o:title=""/>
            <o:lock v:ext="edit" aspectratio="t"/>
            <w10:wrap type="none"/>
            <w10:anchorlock/>
          </v:shape>
          <o:OLEObject Type="Embed" ProgID="Equation.3" ShapeID="_x0000_i1035" DrawAspect="Content" ObjectID="_1468075735" r:id="rId29">
            <o:LockedField>false</o:LockedField>
          </o:OLEObject>
        </w:object>
      </w:r>
      <w:r>
        <w:rPr>
          <w:rFonts w:hint="eastAsia"/>
          <w:sz w:val="28"/>
          <w:szCs w:val="28"/>
          <w:vertAlign w:val="superscript"/>
        </w:rPr>
        <w:t>2</w:t>
      </w:r>
      <w:r>
        <w:rPr>
          <w:rFonts w:hint="eastAsia"/>
          <w:sz w:val="28"/>
          <w:szCs w:val="28"/>
        </w:rPr>
        <w:t>=</w:t>
      </w:r>
      <w:r>
        <w:rPr>
          <w:position w:val="-24"/>
          <w:sz w:val="28"/>
          <w:szCs w:val="28"/>
        </w:rPr>
        <w:object>
          <v:shape id="_x0000_i1036" o:spt="75" type="#_x0000_t75" style="height:31.15pt;width:11.8pt;" o:ole="t" filled="f" o:preferrelative="t" stroked="f" coordsize="21600,21600">
            <v:path/>
            <v:fill on="f" focussize="0,0"/>
            <v:stroke on="f" joinstyle="miter"/>
            <v:imagedata r:id="rId20" o:title=""/>
            <o:lock v:ext="edit" aspectratio="t"/>
            <w10:wrap type="none"/>
            <w10:anchorlock/>
          </v:shape>
          <o:OLEObject Type="Embed" ProgID="Equation.3" ShapeID="_x0000_i1036" DrawAspect="Content" ObjectID="_1468075736" r:id="rId30">
            <o:LockedField>false</o:LockedField>
          </o:OLEObject>
        </w:object>
      </w:r>
      <w:r>
        <w:rPr>
          <w:rFonts w:hint="eastAsia"/>
          <w:sz w:val="28"/>
          <w:szCs w:val="28"/>
        </w:rPr>
        <w:t>(</w:t>
      </w:r>
      <w:r>
        <w:rPr>
          <w:position w:val="-6"/>
          <w:sz w:val="28"/>
          <w:szCs w:val="28"/>
        </w:rPr>
        <w:object>
          <v:shape id="_x0000_i1037" o:spt="75" type="#_x0000_t75" style="height:21.5pt;width:9.65pt;" o:ole="t" filled="f" o:preferrelative="t" stroked="f" coordsize="21600,21600">
            <v:path/>
            <v:fill on="f" focussize="0,0"/>
            <v:stroke on="f" joinstyle="miter"/>
            <v:imagedata r:id="rId18" o:title=""/>
            <o:lock v:ext="edit" aspectratio="t"/>
            <w10:wrap type="none"/>
            <w10:anchorlock/>
          </v:shape>
          <o:OLEObject Type="Embed" ProgID="Equation.3" ShapeID="_x0000_i1037" DrawAspect="Content" ObjectID="_1468075737" r:id="rId31">
            <o:LockedField>false</o:LockedField>
          </o:OLEObject>
        </w:object>
      </w:r>
      <w:r>
        <w:rPr>
          <w:rFonts w:hint="eastAsia"/>
          <w:sz w:val="28"/>
          <w:szCs w:val="28"/>
          <w:vertAlign w:val="subscript"/>
        </w:rPr>
        <w:t>上</w:t>
      </w:r>
      <w:r>
        <w:rPr>
          <w:rFonts w:hint="eastAsia"/>
          <w:sz w:val="28"/>
          <w:szCs w:val="28"/>
          <w:vertAlign w:val="superscript"/>
        </w:rPr>
        <w:t>2</w:t>
      </w:r>
      <w:r>
        <w:rPr>
          <w:rFonts w:hint="eastAsia"/>
          <w:sz w:val="28"/>
          <w:szCs w:val="28"/>
        </w:rPr>
        <w:t>+</w:t>
      </w:r>
      <w:r>
        <w:rPr>
          <w:position w:val="-6"/>
          <w:sz w:val="28"/>
          <w:szCs w:val="28"/>
        </w:rPr>
        <w:object>
          <v:shape id="_x0000_i1038" o:spt="75" type="#_x0000_t75" style="height:21.5pt;width:9.65pt;" o:ole="t" filled="f" o:preferrelative="t" stroked="f" coordsize="21600,21600">
            <v:path/>
            <v:fill on="f" focussize="0,0"/>
            <v:stroke on="f" joinstyle="miter"/>
            <v:imagedata r:id="rId18" o:title=""/>
            <o:lock v:ext="edit" aspectratio="t"/>
            <w10:wrap type="none"/>
            <w10:anchorlock/>
          </v:shape>
          <o:OLEObject Type="Embed" ProgID="Equation.3" ShapeID="_x0000_i1038" DrawAspect="Content" ObjectID="_1468075738" r:id="rId32">
            <o:LockedField>false</o:LockedField>
          </o:OLEObject>
        </w:object>
      </w:r>
      <w:r>
        <w:rPr>
          <w:rFonts w:hint="eastAsia"/>
          <w:sz w:val="28"/>
          <w:szCs w:val="28"/>
          <w:vertAlign w:val="subscript"/>
        </w:rPr>
        <w:t>下</w:t>
      </w:r>
      <w:r>
        <w:rPr>
          <w:rFonts w:hint="eastAsia"/>
          <w:sz w:val="28"/>
          <w:szCs w:val="28"/>
          <w:vertAlign w:val="superscript"/>
        </w:rPr>
        <w:t>2</w:t>
      </w:r>
      <w:r>
        <w:rPr>
          <w:rFonts w:hint="eastAsia"/>
          <w:sz w:val="28"/>
          <w:szCs w:val="28"/>
        </w:rPr>
        <w:t>)；</w:t>
      </w:r>
    </w:p>
    <w:p>
      <w:pPr>
        <w:snapToGrid w:val="0"/>
        <w:spacing w:beforeLines="25" w:line="360" w:lineRule="auto"/>
        <w:ind w:right="31" w:rightChars="15" w:firstLine="570"/>
        <w:rPr>
          <w:sz w:val="28"/>
          <w:szCs w:val="28"/>
        </w:rPr>
      </w:pPr>
      <w:r>
        <w:rPr>
          <w:position w:val="-16"/>
          <w:sz w:val="28"/>
          <w:szCs w:val="28"/>
        </w:rPr>
        <w:object>
          <v:shape id="_x0000_i1039" o:spt="75" type="#_x0000_t75" style="height:29pt;width:12.9pt;" o:ole="t" filled="f" o:preferrelative="t" stroked="f" coordsize="21600,21600">
            <v:path/>
            <v:fill on="f" focussize="0,0"/>
            <v:stroke on="f" joinstyle="miter"/>
            <v:imagedata r:id="rId24" o:title=""/>
            <o:lock v:ext="edit" aspectratio="t"/>
            <w10:wrap type="none"/>
            <w10:anchorlock/>
          </v:shape>
          <o:OLEObject Type="Embed" ProgID="Equation.3" ShapeID="_x0000_i1039" DrawAspect="Content" ObjectID="_1468075739" r:id="rId33">
            <o:LockedField>false</o:LockedField>
          </o:OLEObject>
        </w:object>
      </w:r>
      <w:r>
        <w:rPr>
          <w:rFonts w:hint="eastAsia"/>
          <w:sz w:val="28"/>
          <w:szCs w:val="28"/>
        </w:rPr>
        <w:t>——河段平均局部水头损失系数；</w:t>
      </w:r>
    </w:p>
    <w:p>
      <w:pPr>
        <w:snapToGrid w:val="0"/>
        <w:spacing w:beforeLines="25" w:line="360" w:lineRule="auto"/>
        <w:ind w:right="31" w:rightChars="15" w:firstLine="565" w:firstLineChars="202"/>
        <w:rPr>
          <w:sz w:val="28"/>
          <w:szCs w:val="28"/>
        </w:rPr>
      </w:pPr>
      <w:r>
        <w:rPr>
          <w:rFonts w:hint="eastAsia"/>
          <w:sz w:val="28"/>
          <w:szCs w:val="28"/>
        </w:rPr>
        <w:t>g——重力加速度，</w:t>
      </w:r>
      <w:r>
        <w:rPr>
          <w:sz w:val="28"/>
          <w:szCs w:val="28"/>
        </w:rPr>
        <w:t>m/s</w:t>
      </w:r>
      <w:r>
        <w:rPr>
          <w:rFonts w:hint="eastAsia"/>
          <w:sz w:val="28"/>
          <w:szCs w:val="28"/>
          <w:vertAlign w:val="superscript"/>
        </w:rPr>
        <w:t>2</w:t>
      </w:r>
      <w:r>
        <w:rPr>
          <w:rFonts w:hint="eastAsia"/>
          <w:sz w:val="28"/>
          <w:szCs w:val="28"/>
        </w:rPr>
        <w:t>；</w:t>
      </w:r>
    </w:p>
    <w:p>
      <w:pPr>
        <w:spacing w:beforeLines="50" w:line="360" w:lineRule="auto"/>
        <w:ind w:firstLine="536" w:firstLineChars="200"/>
        <w:rPr>
          <w:rFonts w:hAnsi="宋体"/>
          <w:spacing w:val="-6"/>
          <w:sz w:val="28"/>
          <w:szCs w:val="28"/>
        </w:rPr>
      </w:pPr>
      <w:r>
        <w:rPr>
          <w:spacing w:val="-6"/>
          <w:sz w:val="28"/>
          <w:szCs w:val="28"/>
        </w:rPr>
        <w:t>采用程序计算</w:t>
      </w:r>
      <w:r>
        <w:rPr>
          <w:rFonts w:hint="eastAsia"/>
          <w:sz w:val="28"/>
          <w:szCs w:val="28"/>
        </w:rPr>
        <w:t>秀江道县河段划定的管理范围</w:t>
      </w:r>
      <w:r>
        <w:rPr>
          <w:spacing w:val="-6"/>
          <w:sz w:val="28"/>
          <w:szCs w:val="28"/>
        </w:rPr>
        <w:t>各个断面</w:t>
      </w:r>
      <w:r>
        <w:rPr>
          <w:rFonts w:hint="eastAsia"/>
          <w:spacing w:val="-6"/>
          <w:sz w:val="28"/>
          <w:szCs w:val="28"/>
        </w:rPr>
        <w:t>的</w:t>
      </w:r>
      <w:r>
        <w:rPr>
          <w:spacing w:val="-6"/>
          <w:sz w:val="28"/>
          <w:szCs w:val="28"/>
        </w:rPr>
        <w:t>设计洪水位</w:t>
      </w:r>
      <w:r>
        <w:rPr>
          <w:rFonts w:hint="eastAsia"/>
          <w:spacing w:val="-6"/>
          <w:sz w:val="28"/>
          <w:szCs w:val="28"/>
        </w:rPr>
        <w:t>，计算结果见表2.1-1</w:t>
      </w:r>
      <w:r>
        <w:rPr>
          <w:rFonts w:hAnsi="宋体"/>
          <w:spacing w:val="-6"/>
          <w:sz w:val="28"/>
          <w:szCs w:val="28"/>
        </w:rPr>
        <w:t>。</w:t>
      </w:r>
    </w:p>
    <w:p>
      <w:pPr>
        <w:pStyle w:val="7"/>
        <w:spacing w:before="0" w:after="0" w:line="240" w:lineRule="auto"/>
        <w:ind w:left="0" w:firstLine="0"/>
      </w:pPr>
      <w:r>
        <w:rPr>
          <w:rFonts w:hint="eastAsia"/>
        </w:rPr>
        <w:t>设计洪水位计算成果合理性分析</w:t>
      </w:r>
    </w:p>
    <w:p>
      <w:pPr>
        <w:spacing w:line="360" w:lineRule="auto"/>
        <w:ind w:firstLine="560" w:firstLineChars="200"/>
        <w:rPr>
          <w:rFonts w:hAnsi="宋体"/>
          <w:spacing w:val="-6"/>
          <w:sz w:val="28"/>
          <w:szCs w:val="28"/>
        </w:rPr>
      </w:pPr>
      <w:r>
        <w:rPr>
          <w:rFonts w:hint="eastAsia"/>
          <w:sz w:val="28"/>
          <w:szCs w:val="28"/>
        </w:rPr>
        <w:t>由于秀江道县河段位于深山区，该处没有建设过任何水利工程，也从未进行过设计洪水位计算，因此无法与原有计算结果做比较，只能根据调查结果进行合理性分析。该河段控制流域面积较小，坡降很陡，洪水陡涨陡落，根据本次计算结果设计10年一遇设计洪水水深平均约1.35m，与调查结果基本相符，因此本次计算结果合理。</w:t>
      </w:r>
    </w:p>
    <w:p>
      <w:pPr>
        <w:pStyle w:val="5"/>
        <w:ind w:left="0" w:firstLine="0"/>
      </w:pPr>
      <w:bookmarkStart w:id="122" w:name="_Toc8779"/>
      <w:bookmarkStart w:id="123" w:name="_Toc10546"/>
      <w:r>
        <w:rPr>
          <w:rFonts w:hint="eastAsia"/>
        </w:rPr>
        <w:t>设计水位标图</w:t>
      </w:r>
      <w:bookmarkEnd w:id="108"/>
      <w:bookmarkEnd w:id="109"/>
      <w:bookmarkEnd w:id="122"/>
      <w:bookmarkEnd w:id="123"/>
    </w:p>
    <w:p>
      <w:pPr>
        <w:pStyle w:val="2"/>
        <w:spacing w:line="480" w:lineRule="auto"/>
        <w:ind w:firstLine="565" w:firstLineChars="202"/>
        <w:rPr>
          <w:sz w:val="28"/>
        </w:rPr>
      </w:pPr>
      <w:r>
        <w:rPr>
          <w:rFonts w:hint="eastAsia" w:ascii="宋体" w:hAnsi="宋体" w:eastAsia="宋体" w:cs="Times New Roman"/>
          <w:sz w:val="28"/>
        </w:rPr>
        <w:t>根据本次方案计算得到的永明河道县河段的设计洪水位值，按河段长度按200米一段内插求取各河段的设计洪水位值。根据工作底图上的高程点和等高线等高程信息标注各河段的设计洪水位，然后在工作底图上将离散的点，连接成设计洪</w:t>
      </w:r>
      <w:r>
        <w:rPr>
          <w:rFonts w:hint="eastAsia"/>
          <w:sz w:val="28"/>
        </w:rPr>
        <w:t>水位线。</w:t>
      </w:r>
    </w:p>
    <w:p>
      <w:pPr>
        <w:pStyle w:val="5"/>
        <w:ind w:left="0" w:firstLine="0"/>
      </w:pPr>
      <w:bookmarkStart w:id="124" w:name="_Toc15228287"/>
      <w:bookmarkStart w:id="125" w:name="_Toc14380"/>
      <w:bookmarkStart w:id="126" w:name="_Toc1066"/>
      <w:bookmarkStart w:id="127" w:name="_Toc29367"/>
      <w:r>
        <w:rPr>
          <w:rFonts w:hint="eastAsia"/>
        </w:rPr>
        <w:t>管理范围界限初步划定</w:t>
      </w:r>
      <w:bookmarkEnd w:id="124"/>
      <w:bookmarkEnd w:id="125"/>
      <w:bookmarkEnd w:id="126"/>
      <w:bookmarkEnd w:id="127"/>
    </w:p>
    <w:p>
      <w:pPr>
        <w:pStyle w:val="41"/>
        <w:ind w:firstLine="560"/>
      </w:pPr>
      <w:r>
        <w:rPr>
          <w:rFonts w:hint="eastAsia"/>
        </w:rPr>
        <w:t>根据管理范围划定的标准，在工作底图上初步划定管理范围线，因秀江道县河段在无生产、生活、人类活动的山区，不存在城镇建设用地、农村宅基地等，在管理范围划定时要重点核査各河段原农村集体土地所有权调查的权属界线是否符合管理范围划定要求，如果集体土地所有权调査成果符合管理范围划定的要求，且与相关资料一致，则以所有权确权成果作为管理范围线。如果集体土地所有权界线与管理范围划定的要求存在较大偏差，则不考虑农村集体土地所有权界线，直接按照管理范围划定要求划定。</w:t>
      </w:r>
    </w:p>
    <w:p>
      <w:pPr>
        <w:pStyle w:val="5"/>
        <w:ind w:left="0" w:firstLine="0"/>
      </w:pPr>
      <w:bookmarkStart w:id="128" w:name="_Toc14228"/>
      <w:bookmarkStart w:id="129" w:name="_Toc15228288"/>
      <w:bookmarkStart w:id="130" w:name="_Toc9999"/>
      <w:bookmarkStart w:id="131" w:name="_Toc3162"/>
      <w:r>
        <w:rPr>
          <w:rFonts w:hint="eastAsia"/>
        </w:rPr>
        <w:t>界桩和告示牌预布设</w:t>
      </w:r>
      <w:bookmarkEnd w:id="128"/>
      <w:bookmarkEnd w:id="129"/>
      <w:bookmarkEnd w:id="130"/>
      <w:bookmarkEnd w:id="131"/>
    </w:p>
    <w:p>
      <w:pPr>
        <w:pStyle w:val="41"/>
        <w:ind w:firstLine="560"/>
      </w:pPr>
      <w:r>
        <w:rPr>
          <w:rFonts w:hint="eastAsia"/>
        </w:rPr>
        <w:t>界桩布设位置</w:t>
      </w:r>
    </w:p>
    <w:p>
      <w:pPr>
        <w:pStyle w:val="41"/>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pPr>
        <w:pStyle w:val="41"/>
        <w:ind w:firstLine="560"/>
      </w:pPr>
      <w:r>
        <w:rPr>
          <w:rFonts w:hint="eastAsia"/>
        </w:rPr>
        <w:t>当按照界桩布设规则，界桩落在湿地、水域等不适宜埋设区域时，可在管理范围界线方向上调整界桩位置。</w:t>
      </w:r>
    </w:p>
    <w:p>
      <w:pPr>
        <w:pStyle w:val="41"/>
        <w:ind w:firstLine="560"/>
      </w:pPr>
      <w:r>
        <w:rPr>
          <w:rFonts w:hint="eastAsia"/>
        </w:rPr>
        <w:t>在无生产、生活、人类活动的陡崖、荒山、森林等河段，可根据实际情况加大界桩间距，但在下列情况应增设管理范围界桩：</w:t>
      </w:r>
    </w:p>
    <w:p>
      <w:pPr>
        <w:pStyle w:val="41"/>
        <w:ind w:firstLine="560"/>
      </w:pPr>
      <w:r>
        <w:rPr>
          <w:rFonts w:hint="eastAsia"/>
        </w:rPr>
        <w:t>a）重要下河通道（车行通道)；</w:t>
      </w:r>
    </w:p>
    <w:p>
      <w:pPr>
        <w:pStyle w:val="41"/>
        <w:ind w:firstLine="560"/>
      </w:pPr>
      <w:r>
        <w:rPr>
          <w:rFonts w:hint="eastAsia"/>
        </w:rPr>
        <w:t>b）重要码头、桥梁、取水口、电站等涉河设施处；</w:t>
      </w:r>
    </w:p>
    <w:p>
      <w:pPr>
        <w:pStyle w:val="41"/>
        <w:ind w:firstLine="560"/>
      </w:pPr>
      <w:r>
        <w:rPr>
          <w:rFonts w:hint="eastAsia"/>
        </w:rPr>
        <w:t>c）河道拐弯(角度小于120度)处；</w:t>
      </w:r>
    </w:p>
    <w:p>
      <w:pPr>
        <w:pStyle w:val="41"/>
        <w:ind w:firstLine="560"/>
      </w:pPr>
      <w:r>
        <w:rPr>
          <w:rFonts w:hint="eastAsia"/>
        </w:rPr>
        <w:t>d）水事纠纷和水事案件易发地段或行政界；</w:t>
      </w:r>
    </w:p>
    <w:p>
      <w:pPr>
        <w:pStyle w:val="41"/>
        <w:ind w:firstLine="560"/>
      </w:pPr>
      <w:r>
        <w:rPr>
          <w:rFonts w:hint="eastAsia"/>
        </w:rPr>
        <w:t>e）县界交界、河道尽头处应埋设界桩。</w:t>
      </w:r>
    </w:p>
    <w:p>
      <w:pPr>
        <w:pStyle w:val="41"/>
        <w:ind w:firstLine="560"/>
      </w:pPr>
      <w:r>
        <w:rPr>
          <w:rFonts w:hint="eastAsia"/>
        </w:rPr>
        <w:t>对于下述情况应该埋设公共界桩，对于需布设公共界桩的河段，先开展划界工作的河段要按照划界标准，先初步确定公共界桩的位置，后划界河段要主动与先划界河段进行接边。</w:t>
      </w:r>
    </w:p>
    <w:p>
      <w:pPr>
        <w:pStyle w:val="41"/>
        <w:ind w:firstLine="0" w:firstLineChars="0"/>
      </w:pPr>
      <w:r>
        <w:rPr>
          <w:rFonts w:hint="eastAsia"/>
        </w:rPr>
        <w:t>（1）相邻行政区</w:t>
      </w:r>
    </w:p>
    <w:p>
      <w:pPr>
        <w:pStyle w:val="41"/>
        <w:ind w:firstLine="560"/>
      </w:pPr>
      <w:r>
        <w:rPr>
          <w:rFonts w:hint="eastAsia"/>
        </w:rPr>
        <w:t>相邻行政辖区管理范围在接边处需采用同一标准划定，管理范围与行政边界交汇处需设置公共界桩并按照上游（湖泊、水库等按照顺时针方向）行政区编号，下游划界成果信息化时需釆集公共桩数据并作为起始编号，公共界桩仅作为管理范围界线标识，不表征行政区划界线（如图4.3.4-1所示）。</w:t>
      </w:r>
    </w:p>
    <w:p>
      <w:pPr>
        <w:pStyle w:val="41"/>
        <w:ind w:firstLine="560"/>
      </w:pPr>
      <w:r>
        <w:rPr>
          <w:rFonts w:hint="eastAsia"/>
        </w:rPr>
        <w:drawing>
          <wp:inline distT="0" distB="0" distL="0" distR="0">
            <wp:extent cx="4333875" cy="2419350"/>
            <wp:effectExtent l="0" t="0" r="9525" b="0"/>
            <wp:docPr id="5" name="图片 16" descr="C:\QQ图片201606261448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6" descr="C:\QQ图片20160626144812.png"/>
                    <pic:cNvPicPr>
                      <a:picLocks noChangeAspect="1" noChangeArrowheads="1"/>
                    </pic:cNvPicPr>
                  </pic:nvPicPr>
                  <pic:blipFill>
                    <a:blip r:embed="rId34" cstate="print"/>
                    <a:srcRect l="1355" t="2370"/>
                    <a:stretch>
                      <a:fillRect/>
                    </a:stretch>
                  </pic:blipFill>
                  <pic:spPr>
                    <a:xfrm>
                      <a:off x="0" y="0"/>
                      <a:ext cx="4333875" cy="2419350"/>
                    </a:xfrm>
                    <a:prstGeom prst="rect">
                      <a:avLst/>
                    </a:prstGeom>
                    <a:noFill/>
                    <a:ln w="9525">
                      <a:noFill/>
                      <a:miter lim="800000"/>
                      <a:headEnd/>
                      <a:tailEnd/>
                    </a:ln>
                  </pic:spPr>
                </pic:pic>
              </a:graphicData>
            </a:graphic>
          </wp:inline>
        </w:drawing>
      </w:r>
    </w:p>
    <w:p>
      <w:pPr>
        <w:pStyle w:val="41"/>
        <w:ind w:firstLine="560"/>
        <w:jc w:val="center"/>
      </w:pPr>
      <w:r>
        <w:rPr>
          <w:rFonts w:hint="eastAsia"/>
        </w:rPr>
        <w:t>图4.3.4-1相邻行政界线</w:t>
      </w:r>
    </w:p>
    <w:p>
      <w:pPr>
        <w:pStyle w:val="41"/>
        <w:ind w:firstLine="560"/>
      </w:pPr>
    </w:p>
    <w:p>
      <w:pPr>
        <w:pStyle w:val="41"/>
        <w:ind w:firstLine="560"/>
      </w:pPr>
      <w:r>
        <w:rPr>
          <w:rFonts w:hint="eastAsia"/>
        </w:rPr>
        <w:t>告示牌布设位置</w:t>
      </w:r>
    </w:p>
    <w:p>
      <w:pPr>
        <w:pStyle w:val="41"/>
        <w:ind w:firstLine="560"/>
      </w:pPr>
      <w:r>
        <w:rPr>
          <w:rFonts w:hint="eastAsia"/>
        </w:rPr>
        <w:t>城市规划区告示牌不少于3处，城镇规划区告示牌不少于1处。告示牌通常设置在下述位置：</w:t>
      </w:r>
    </w:p>
    <w:p>
      <w:pPr>
        <w:pStyle w:val="41"/>
        <w:ind w:firstLine="560"/>
      </w:pPr>
      <w:r>
        <w:rPr>
          <w:rFonts w:hint="eastAsia"/>
        </w:rPr>
        <w:t>a) 穿越城镇规划区上、下游；</w:t>
      </w:r>
    </w:p>
    <w:p>
      <w:pPr>
        <w:pStyle w:val="41"/>
        <w:ind w:firstLine="560"/>
      </w:pPr>
      <w:r>
        <w:rPr>
          <w:rFonts w:hint="eastAsia"/>
        </w:rPr>
        <w:t>b) 重要下河通道（车行通道）；</w:t>
      </w:r>
    </w:p>
    <w:p>
      <w:pPr>
        <w:pStyle w:val="41"/>
        <w:ind w:firstLine="560"/>
      </w:pPr>
      <w:r>
        <w:rPr>
          <w:rFonts w:hint="eastAsia"/>
        </w:rPr>
        <w:t>c) 人口密集或人流聚集地点河岸。</w:t>
      </w:r>
    </w:p>
    <w:p>
      <w:pPr>
        <w:pStyle w:val="41"/>
        <w:ind w:firstLine="560"/>
      </w:pPr>
      <w:bookmarkStart w:id="132" w:name="_Toc463087608"/>
      <w:r>
        <w:rPr>
          <w:rFonts w:hint="eastAsia"/>
        </w:rPr>
        <w:t>界桩和告示牌点位略图制作</w:t>
      </w:r>
      <w:bookmarkEnd w:id="132"/>
    </w:p>
    <w:p>
      <w:pPr>
        <w:pStyle w:val="41"/>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ind w:left="0" w:firstLine="0"/>
      </w:pPr>
      <w:bookmarkStart w:id="133" w:name="_Toc15228289"/>
      <w:bookmarkStart w:id="134" w:name="_Toc15426"/>
      <w:bookmarkStart w:id="135" w:name="_Toc1418"/>
      <w:bookmarkStart w:id="136" w:name="_Toc5570"/>
      <w:r>
        <w:rPr>
          <w:rFonts w:hint="eastAsia"/>
        </w:rPr>
        <w:t>管理范围线实地修正</w:t>
      </w:r>
      <w:bookmarkEnd w:id="133"/>
      <w:bookmarkEnd w:id="134"/>
      <w:bookmarkEnd w:id="135"/>
      <w:bookmarkEnd w:id="136"/>
    </w:p>
    <w:p>
      <w:pPr>
        <w:pStyle w:val="2"/>
        <w:spacing w:line="480" w:lineRule="auto"/>
        <w:ind w:firstLine="565" w:firstLineChars="202"/>
        <w:rPr>
          <w:sz w:val="28"/>
        </w:rPr>
      </w:pPr>
      <w:r>
        <w:rPr>
          <w:rFonts w:hint="eastAsia"/>
          <w:sz w:val="28"/>
        </w:rPr>
        <w:t>对照室内初步划定的管理范围线，根据实地现场情况，逐河段调整管理范围线，并调整确定拟埋设界桩的位置。</w:t>
      </w:r>
    </w:p>
    <w:p>
      <w:pPr>
        <w:pStyle w:val="3"/>
        <w:ind w:left="0" w:firstLine="0"/>
      </w:pPr>
      <w:bookmarkStart w:id="137" w:name="_Toc5482"/>
      <w:bookmarkStart w:id="138" w:name="_Toc15228290"/>
      <w:bookmarkStart w:id="139" w:name="_Toc15553"/>
      <w:bookmarkStart w:id="140" w:name="_Toc3487"/>
      <w:r>
        <w:rPr>
          <w:rFonts w:hint="eastAsia"/>
        </w:rPr>
        <w:t>划界标准</w:t>
      </w:r>
      <w:bookmarkEnd w:id="137"/>
      <w:bookmarkEnd w:id="138"/>
      <w:r>
        <w:rPr>
          <w:rFonts w:hint="eastAsia"/>
        </w:rPr>
        <w:t>和依据</w:t>
      </w:r>
      <w:bookmarkEnd w:id="139"/>
      <w:bookmarkEnd w:id="140"/>
    </w:p>
    <w:p>
      <w:pPr>
        <w:pStyle w:val="2"/>
        <w:spacing w:line="480" w:lineRule="auto"/>
        <w:ind w:firstLine="565" w:firstLineChars="202"/>
        <w:rPr>
          <w:b/>
        </w:rPr>
      </w:pPr>
      <w:r>
        <w:rPr>
          <w:rFonts w:hint="eastAsia"/>
          <w:sz w:val="28"/>
        </w:rPr>
        <w:t>秀江道县河段河道管理范围划界标准依据《中华人民共和国水法》、《中华人民共和国防洪法》、《中华人民共和国河道管理条例》、《湖南省实施〈中华人民共和国水法〉办法》、《湖南省实施〈中华人民共和国河道管理条例〉办法》、《防洪标准》（GB50201-2014）、《堤防工程设计规范》（GB50286-2013）等法律法规以及相关规范，结合湖南省河湖管理范围划定技术导则和秀江道县河段实际情况，确定标准如下：</w:t>
      </w:r>
    </w:p>
    <w:p>
      <w:pPr>
        <w:pStyle w:val="4"/>
        <w:ind w:left="0" w:firstLine="0"/>
      </w:pPr>
      <w:bookmarkStart w:id="141" w:name="_Toc2544"/>
      <w:r>
        <w:rPr>
          <w:rFonts w:hint="eastAsia"/>
        </w:rPr>
        <w:t>无堤防的河道管理范围划界标准和依据</w:t>
      </w:r>
      <w:bookmarkEnd w:id="141"/>
    </w:p>
    <w:p>
      <w:pPr>
        <w:pStyle w:val="2"/>
        <w:spacing w:line="480" w:lineRule="auto"/>
        <w:ind w:firstLine="480"/>
        <w:rPr>
          <w:b/>
        </w:rPr>
      </w:pPr>
      <w:r>
        <w:rPr>
          <w:rFonts w:hint="eastAsia"/>
          <w:sz w:val="28"/>
        </w:rPr>
        <w:t>根据对秀江的实地调查、核实，秀江道县河段全部为高山地区，地形较陡峭，因此，依据《湖南省实施&lt;中华人民共和国河道管理条例&gt;办法》，“无堤防的河道管理范围根据历史最高洪水位或设计洪水位确定”。综上所述，结合秀江道县河段实际情况，确定秀江道县河段无堤防河段的管理范围根据10年一遇设计洪水位来划定。</w:t>
      </w:r>
    </w:p>
    <w:p>
      <w:pPr>
        <w:ind w:firstLine="560" w:firstLineChars="200"/>
        <w:rPr>
          <w:b/>
        </w:rPr>
      </w:pPr>
      <w:r>
        <w:rPr>
          <w:rFonts w:hint="eastAsia"/>
          <w:sz w:val="28"/>
        </w:rPr>
        <w:t>秀江道县段管理范围划定标准如表5.1-1：</w:t>
      </w:r>
    </w:p>
    <w:p>
      <w:pPr>
        <w:rPr>
          <w:b/>
        </w:rPr>
      </w:pPr>
      <w:r>
        <w:rPr>
          <w:rFonts w:hint="eastAsia"/>
          <w:b/>
        </w:rPr>
        <w:t>表5.1-1               秀江道县段管理范围划定标准表</w:t>
      </w:r>
    </w:p>
    <w:tbl>
      <w:tblPr>
        <w:tblStyle w:val="23"/>
        <w:tblW w:w="8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
        <w:gridCol w:w="489"/>
        <w:gridCol w:w="848"/>
        <w:gridCol w:w="852"/>
        <w:gridCol w:w="850"/>
        <w:gridCol w:w="850"/>
        <w:gridCol w:w="424"/>
        <w:gridCol w:w="1560"/>
        <w:gridCol w:w="708"/>
        <w:gridCol w:w="1262"/>
        <w:gridCol w:w="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99" w:type="dxa"/>
            <w:vMerge w:val="restart"/>
            <w:vAlign w:val="center"/>
          </w:tcPr>
          <w:p>
            <w:pPr>
              <w:pStyle w:val="41"/>
              <w:ind w:firstLine="0" w:firstLineChars="0"/>
              <w:jc w:val="center"/>
              <w:rPr>
                <w:sz w:val="22"/>
              </w:rPr>
            </w:pPr>
            <w:r>
              <w:rPr>
                <w:rFonts w:hint="eastAsia"/>
                <w:sz w:val="22"/>
              </w:rPr>
              <w:t>岸别</w:t>
            </w:r>
          </w:p>
        </w:tc>
        <w:tc>
          <w:tcPr>
            <w:tcW w:w="489" w:type="dxa"/>
            <w:vMerge w:val="restart"/>
            <w:vAlign w:val="center"/>
          </w:tcPr>
          <w:p>
            <w:pPr>
              <w:pStyle w:val="41"/>
              <w:ind w:firstLine="0" w:firstLineChars="0"/>
              <w:jc w:val="center"/>
              <w:rPr>
                <w:sz w:val="22"/>
              </w:rPr>
            </w:pPr>
            <w:r>
              <w:rPr>
                <w:rFonts w:hint="eastAsia"/>
                <w:sz w:val="22"/>
              </w:rPr>
              <w:t>类别</w:t>
            </w:r>
          </w:p>
        </w:tc>
        <w:tc>
          <w:tcPr>
            <w:tcW w:w="1700" w:type="dxa"/>
            <w:gridSpan w:val="2"/>
            <w:vAlign w:val="center"/>
          </w:tcPr>
          <w:p>
            <w:pPr>
              <w:pStyle w:val="41"/>
              <w:ind w:firstLine="0" w:firstLineChars="0"/>
              <w:jc w:val="center"/>
              <w:rPr>
                <w:sz w:val="22"/>
              </w:rPr>
            </w:pPr>
            <w:r>
              <w:rPr>
                <w:rFonts w:hint="eastAsia"/>
                <w:sz w:val="22"/>
              </w:rPr>
              <w:t>起点</w:t>
            </w:r>
          </w:p>
        </w:tc>
        <w:tc>
          <w:tcPr>
            <w:tcW w:w="1700" w:type="dxa"/>
            <w:gridSpan w:val="2"/>
            <w:vAlign w:val="center"/>
          </w:tcPr>
          <w:p>
            <w:pPr>
              <w:pStyle w:val="41"/>
              <w:ind w:firstLine="0" w:firstLineChars="0"/>
              <w:jc w:val="center"/>
              <w:rPr>
                <w:sz w:val="22"/>
              </w:rPr>
            </w:pPr>
            <w:r>
              <w:rPr>
                <w:rFonts w:hint="eastAsia"/>
                <w:sz w:val="22"/>
              </w:rPr>
              <w:t>终点</w:t>
            </w:r>
          </w:p>
        </w:tc>
        <w:tc>
          <w:tcPr>
            <w:tcW w:w="424" w:type="dxa"/>
            <w:vMerge w:val="restart"/>
            <w:vAlign w:val="center"/>
          </w:tcPr>
          <w:p>
            <w:pPr>
              <w:pStyle w:val="41"/>
              <w:ind w:firstLine="0" w:firstLineChars="0"/>
              <w:jc w:val="center"/>
              <w:rPr>
                <w:sz w:val="22"/>
              </w:rPr>
            </w:pPr>
            <w:r>
              <w:rPr>
                <w:rFonts w:hint="eastAsia"/>
                <w:sz w:val="22"/>
              </w:rPr>
              <w:t>河段属性</w:t>
            </w:r>
          </w:p>
        </w:tc>
        <w:tc>
          <w:tcPr>
            <w:tcW w:w="1560" w:type="dxa"/>
            <w:vMerge w:val="restart"/>
            <w:vAlign w:val="center"/>
          </w:tcPr>
          <w:p>
            <w:pPr>
              <w:pStyle w:val="41"/>
              <w:ind w:firstLine="0" w:firstLineChars="0"/>
              <w:jc w:val="center"/>
              <w:rPr>
                <w:sz w:val="22"/>
              </w:rPr>
            </w:pPr>
            <w:r>
              <w:rPr>
                <w:rFonts w:hint="eastAsia"/>
                <w:sz w:val="22"/>
              </w:rPr>
              <w:t>依据</w:t>
            </w:r>
          </w:p>
        </w:tc>
        <w:tc>
          <w:tcPr>
            <w:tcW w:w="1970" w:type="dxa"/>
            <w:gridSpan w:val="2"/>
            <w:vAlign w:val="center"/>
          </w:tcPr>
          <w:p>
            <w:pPr>
              <w:pStyle w:val="41"/>
              <w:ind w:firstLine="0" w:firstLineChars="0"/>
              <w:jc w:val="center"/>
              <w:rPr>
                <w:sz w:val="22"/>
              </w:rPr>
            </w:pPr>
            <w:r>
              <w:rPr>
                <w:rFonts w:hint="eastAsia"/>
                <w:sz w:val="22"/>
              </w:rPr>
              <w:t>划界标准</w:t>
            </w:r>
          </w:p>
        </w:tc>
        <w:tc>
          <w:tcPr>
            <w:tcW w:w="416" w:type="dxa"/>
            <w:vMerge w:val="restart"/>
            <w:vAlign w:val="center"/>
          </w:tcPr>
          <w:p>
            <w:pPr>
              <w:pStyle w:val="41"/>
              <w:ind w:firstLine="0" w:firstLineChars="0"/>
              <w:jc w:val="center"/>
              <w:rPr>
                <w:sz w:val="22"/>
              </w:rPr>
            </w:pPr>
            <w:r>
              <w:rPr>
                <w:rFonts w:hint="eastAsia"/>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atLeast"/>
          <w:tblHeader/>
          <w:jc w:val="center"/>
        </w:trPr>
        <w:tc>
          <w:tcPr>
            <w:tcW w:w="399" w:type="dxa"/>
            <w:vMerge w:val="continue"/>
            <w:vAlign w:val="center"/>
          </w:tcPr>
          <w:p>
            <w:pPr>
              <w:pStyle w:val="41"/>
              <w:ind w:firstLine="0" w:firstLineChars="0"/>
              <w:jc w:val="center"/>
              <w:rPr>
                <w:sz w:val="22"/>
              </w:rPr>
            </w:pPr>
          </w:p>
        </w:tc>
        <w:tc>
          <w:tcPr>
            <w:tcW w:w="489" w:type="dxa"/>
            <w:vMerge w:val="continue"/>
            <w:vAlign w:val="center"/>
          </w:tcPr>
          <w:p>
            <w:pPr>
              <w:pStyle w:val="41"/>
              <w:ind w:firstLine="0" w:firstLineChars="0"/>
              <w:jc w:val="center"/>
              <w:rPr>
                <w:sz w:val="22"/>
              </w:rPr>
            </w:pPr>
          </w:p>
        </w:tc>
        <w:tc>
          <w:tcPr>
            <w:tcW w:w="848" w:type="dxa"/>
            <w:vAlign w:val="center"/>
          </w:tcPr>
          <w:p>
            <w:pPr>
              <w:pStyle w:val="41"/>
              <w:ind w:firstLine="0" w:firstLineChars="0"/>
              <w:jc w:val="center"/>
              <w:rPr>
                <w:sz w:val="22"/>
              </w:rPr>
            </w:pPr>
            <w:r>
              <w:rPr>
                <w:rFonts w:hint="eastAsia"/>
                <w:sz w:val="20"/>
              </w:rPr>
              <w:t>河道里程数（km）</w:t>
            </w:r>
          </w:p>
        </w:tc>
        <w:tc>
          <w:tcPr>
            <w:tcW w:w="852" w:type="dxa"/>
            <w:vAlign w:val="center"/>
          </w:tcPr>
          <w:p>
            <w:pPr>
              <w:pStyle w:val="41"/>
              <w:ind w:firstLine="0" w:firstLineChars="0"/>
              <w:jc w:val="center"/>
              <w:rPr>
                <w:sz w:val="22"/>
              </w:rPr>
            </w:pPr>
            <w:r>
              <w:rPr>
                <w:rFonts w:hint="eastAsia"/>
                <w:sz w:val="20"/>
              </w:rPr>
              <w:t>点位坐标</w:t>
            </w:r>
          </w:p>
        </w:tc>
        <w:tc>
          <w:tcPr>
            <w:tcW w:w="850" w:type="dxa"/>
            <w:vAlign w:val="center"/>
          </w:tcPr>
          <w:p>
            <w:pPr>
              <w:pStyle w:val="41"/>
              <w:ind w:firstLine="0" w:firstLineChars="0"/>
              <w:jc w:val="center"/>
              <w:rPr>
                <w:sz w:val="22"/>
              </w:rPr>
            </w:pPr>
            <w:r>
              <w:rPr>
                <w:rFonts w:hint="eastAsia"/>
                <w:sz w:val="20"/>
              </w:rPr>
              <w:t>河道里程数（km）</w:t>
            </w:r>
          </w:p>
        </w:tc>
        <w:tc>
          <w:tcPr>
            <w:tcW w:w="850" w:type="dxa"/>
            <w:vAlign w:val="center"/>
          </w:tcPr>
          <w:p>
            <w:pPr>
              <w:pStyle w:val="41"/>
              <w:ind w:firstLine="0" w:firstLineChars="0"/>
              <w:jc w:val="center"/>
              <w:rPr>
                <w:sz w:val="22"/>
              </w:rPr>
            </w:pPr>
            <w:r>
              <w:rPr>
                <w:rFonts w:hint="eastAsia"/>
                <w:sz w:val="20"/>
              </w:rPr>
              <w:t>点位坐标</w:t>
            </w:r>
          </w:p>
        </w:tc>
        <w:tc>
          <w:tcPr>
            <w:tcW w:w="424" w:type="dxa"/>
            <w:vMerge w:val="continue"/>
            <w:vAlign w:val="center"/>
          </w:tcPr>
          <w:p>
            <w:pPr>
              <w:pStyle w:val="41"/>
              <w:ind w:firstLine="0" w:firstLineChars="0"/>
              <w:jc w:val="center"/>
              <w:rPr>
                <w:sz w:val="22"/>
              </w:rPr>
            </w:pPr>
          </w:p>
        </w:tc>
        <w:tc>
          <w:tcPr>
            <w:tcW w:w="1560" w:type="dxa"/>
            <w:vMerge w:val="continue"/>
            <w:vAlign w:val="center"/>
          </w:tcPr>
          <w:p>
            <w:pPr>
              <w:pStyle w:val="41"/>
              <w:ind w:firstLine="0" w:firstLineChars="0"/>
              <w:jc w:val="center"/>
              <w:rPr>
                <w:sz w:val="22"/>
              </w:rPr>
            </w:pPr>
          </w:p>
        </w:tc>
        <w:tc>
          <w:tcPr>
            <w:tcW w:w="708" w:type="dxa"/>
            <w:vAlign w:val="center"/>
          </w:tcPr>
          <w:p>
            <w:pPr>
              <w:pStyle w:val="41"/>
              <w:ind w:firstLine="0" w:firstLineChars="0"/>
              <w:jc w:val="center"/>
              <w:rPr>
                <w:sz w:val="22"/>
              </w:rPr>
            </w:pPr>
            <w:r>
              <w:rPr>
                <w:rFonts w:hint="eastAsia"/>
                <w:sz w:val="22"/>
              </w:rPr>
              <w:t>护堤地范围</w:t>
            </w:r>
          </w:p>
        </w:tc>
        <w:tc>
          <w:tcPr>
            <w:tcW w:w="1262" w:type="dxa"/>
            <w:vAlign w:val="center"/>
          </w:tcPr>
          <w:p>
            <w:pPr>
              <w:pStyle w:val="41"/>
              <w:ind w:firstLine="0" w:firstLineChars="0"/>
              <w:jc w:val="center"/>
              <w:rPr>
                <w:sz w:val="22"/>
              </w:rPr>
            </w:pPr>
            <w:r>
              <w:rPr>
                <w:rFonts w:hint="eastAsia"/>
                <w:sz w:val="22"/>
              </w:rPr>
              <w:t>其他标准</w:t>
            </w:r>
          </w:p>
        </w:tc>
        <w:tc>
          <w:tcPr>
            <w:tcW w:w="416" w:type="dxa"/>
            <w:vMerge w:val="continue"/>
            <w:vAlign w:val="center"/>
          </w:tcPr>
          <w:p>
            <w:pPr>
              <w:pStyle w:val="41"/>
              <w:ind w:firstLine="0" w:firstLineChars="0"/>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99" w:type="dxa"/>
            <w:vAlign w:val="center"/>
          </w:tcPr>
          <w:p>
            <w:pPr>
              <w:widowControl/>
              <w:jc w:val="center"/>
              <w:textAlignment w:val="center"/>
              <w:rPr>
                <w:sz w:val="22"/>
              </w:rPr>
            </w:pPr>
            <w:r>
              <w:rPr>
                <w:rStyle w:val="67"/>
                <w:rFonts w:hint="default"/>
              </w:rPr>
              <w:t>左岸</w:t>
            </w:r>
          </w:p>
        </w:tc>
        <w:tc>
          <w:tcPr>
            <w:tcW w:w="489" w:type="dxa"/>
            <w:vAlign w:val="center"/>
          </w:tcPr>
          <w:p>
            <w:pPr>
              <w:widowControl/>
              <w:jc w:val="center"/>
              <w:textAlignment w:val="center"/>
              <w:rPr>
                <w:i/>
                <w:color w:val="000000" w:themeColor="text1"/>
                <w:sz w:val="16"/>
              </w:rPr>
            </w:pPr>
            <w:r>
              <w:rPr>
                <w:rFonts w:hint="eastAsia" w:ascii="宋体" w:hAnsi="宋体" w:eastAsia="宋体" w:cs="宋体"/>
                <w:i/>
                <w:color w:val="000000"/>
                <w:kern w:val="0"/>
                <w:sz w:val="16"/>
                <w:szCs w:val="16"/>
              </w:rPr>
              <w:t>无堤防</w:t>
            </w:r>
          </w:p>
        </w:tc>
        <w:tc>
          <w:tcPr>
            <w:tcW w:w="848" w:type="dxa"/>
            <w:vAlign w:val="center"/>
          </w:tcPr>
          <w:p>
            <w:pPr>
              <w:pStyle w:val="41"/>
              <w:ind w:firstLine="0" w:firstLineChars="0"/>
              <w:jc w:val="center"/>
              <w:rPr>
                <w:color w:val="000000" w:themeColor="text1"/>
                <w:sz w:val="21"/>
                <w:szCs w:val="21"/>
              </w:rPr>
            </w:pPr>
            <w:r>
              <w:rPr>
                <w:rFonts w:hint="eastAsia"/>
                <w:sz w:val="18"/>
                <w:szCs w:val="18"/>
              </w:rPr>
              <w:t>0.00</w:t>
            </w:r>
          </w:p>
        </w:tc>
        <w:tc>
          <w:tcPr>
            <w:tcW w:w="852" w:type="dxa"/>
            <w:vAlign w:val="center"/>
          </w:tcPr>
          <w:p>
            <w:pPr>
              <w:pStyle w:val="41"/>
              <w:ind w:firstLine="0" w:firstLineChars="0"/>
              <w:jc w:val="center"/>
              <w:rPr>
                <w:color w:val="000000" w:themeColor="text1"/>
                <w:sz w:val="21"/>
                <w:szCs w:val="21"/>
              </w:rPr>
            </w:pPr>
            <w:r>
              <w:rPr>
                <w:rFonts w:hint="eastAsia"/>
                <w:sz w:val="18"/>
                <w:szCs w:val="18"/>
              </w:rPr>
              <w:t>2820713.09，531334.64</w:t>
            </w:r>
          </w:p>
        </w:tc>
        <w:tc>
          <w:tcPr>
            <w:tcW w:w="850" w:type="dxa"/>
            <w:vAlign w:val="center"/>
          </w:tcPr>
          <w:p>
            <w:pPr>
              <w:pStyle w:val="41"/>
              <w:ind w:firstLine="0" w:firstLineChars="0"/>
              <w:jc w:val="center"/>
              <w:rPr>
                <w:color w:val="000000" w:themeColor="text1"/>
                <w:sz w:val="21"/>
                <w:szCs w:val="21"/>
              </w:rPr>
            </w:pPr>
            <w:r>
              <w:rPr>
                <w:rFonts w:hint="eastAsia"/>
                <w:sz w:val="18"/>
                <w:szCs w:val="18"/>
              </w:rPr>
              <w:t>3.94</w:t>
            </w:r>
          </w:p>
        </w:tc>
        <w:tc>
          <w:tcPr>
            <w:tcW w:w="850" w:type="dxa"/>
            <w:vAlign w:val="center"/>
          </w:tcPr>
          <w:p>
            <w:pPr>
              <w:pStyle w:val="41"/>
              <w:ind w:firstLine="0" w:firstLineChars="0"/>
              <w:jc w:val="center"/>
              <w:rPr>
                <w:color w:val="000000" w:themeColor="text1"/>
                <w:sz w:val="21"/>
                <w:szCs w:val="21"/>
              </w:rPr>
            </w:pPr>
            <w:r>
              <w:rPr>
                <w:rFonts w:hint="eastAsia"/>
                <w:sz w:val="18"/>
                <w:szCs w:val="18"/>
              </w:rPr>
              <w:t>2823614.0</w:t>
            </w:r>
            <w:r>
              <w:rPr>
                <w:rFonts w:hint="eastAsia"/>
                <w:sz w:val="18"/>
                <w:szCs w:val="18"/>
                <w:lang w:val="en-US" w:eastAsia="zh-CN"/>
              </w:rPr>
              <w:t>7</w:t>
            </w:r>
            <w:r>
              <w:rPr>
                <w:rFonts w:hint="eastAsia"/>
                <w:sz w:val="18"/>
                <w:szCs w:val="18"/>
              </w:rPr>
              <w:t>，532409.30</w:t>
            </w:r>
          </w:p>
        </w:tc>
        <w:tc>
          <w:tcPr>
            <w:tcW w:w="424" w:type="dxa"/>
            <w:vAlign w:val="center"/>
          </w:tcPr>
          <w:p>
            <w:pPr>
              <w:pStyle w:val="41"/>
              <w:ind w:firstLine="0" w:firstLineChars="0"/>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农村河段</w:t>
            </w:r>
          </w:p>
        </w:tc>
        <w:tc>
          <w:tcPr>
            <w:tcW w:w="1560" w:type="dxa"/>
            <w:vAlign w:val="center"/>
          </w:tcPr>
          <w:p>
            <w:pPr>
              <w:pStyle w:val="41"/>
              <w:ind w:firstLine="0" w:firstLineChars="0"/>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湖南省河湖管理范围划定技术导则</w:t>
            </w:r>
          </w:p>
          <w:p>
            <w:pPr>
              <w:pStyle w:val="41"/>
              <w:ind w:firstLine="0" w:firstLineChars="0"/>
              <w:jc w:val="center"/>
              <w:rPr>
                <w:rFonts w:hint="eastAsia" w:asciiTheme="minorEastAsia" w:hAnsiTheme="minorEastAsia" w:eastAsiaTheme="minorEastAsia" w:cstheme="minorEastAsia"/>
                <w:iCs/>
                <w:color w:val="000000" w:themeColor="text1"/>
                <w:sz w:val="16"/>
                <w:lang w:val="en-US" w:eastAsia="zh-CN"/>
              </w:rPr>
            </w:pPr>
            <w:r>
              <w:rPr>
                <w:rFonts w:hint="eastAsia" w:asciiTheme="minorEastAsia" w:hAnsiTheme="minorEastAsia" w:cstheme="minorEastAsia"/>
                <w:iCs/>
                <w:color w:val="000000" w:themeColor="text1"/>
                <w:sz w:val="16"/>
              </w:rPr>
              <w:t>3.</w:t>
            </w:r>
            <w:r>
              <w:rPr>
                <w:rFonts w:hint="eastAsia" w:asciiTheme="minorEastAsia" w:hAnsiTheme="minorEastAsia" w:cstheme="minorEastAsia"/>
                <w:iCs/>
                <w:color w:val="000000" w:themeColor="text1"/>
                <w:sz w:val="16"/>
                <w:lang w:val="en-US" w:eastAsia="zh-CN"/>
              </w:rPr>
              <w:t>2</w:t>
            </w:r>
          </w:p>
        </w:tc>
        <w:tc>
          <w:tcPr>
            <w:tcW w:w="708" w:type="dxa"/>
            <w:vAlign w:val="center"/>
          </w:tcPr>
          <w:p>
            <w:pPr>
              <w:pStyle w:val="41"/>
              <w:ind w:firstLine="0" w:firstLineChars="0"/>
              <w:jc w:val="center"/>
              <w:rPr>
                <w:rFonts w:asciiTheme="minorEastAsia" w:hAnsiTheme="minorEastAsia" w:cstheme="minorEastAsia"/>
                <w:iCs/>
                <w:color w:val="000000" w:themeColor="text1"/>
                <w:sz w:val="22"/>
              </w:rPr>
            </w:pPr>
          </w:p>
        </w:tc>
        <w:tc>
          <w:tcPr>
            <w:tcW w:w="1262" w:type="dxa"/>
            <w:vAlign w:val="center"/>
          </w:tcPr>
          <w:p>
            <w:pPr>
              <w:pStyle w:val="41"/>
              <w:ind w:firstLine="0" w:firstLineChars="0"/>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10年一遇设计洪水位</w:t>
            </w:r>
          </w:p>
        </w:tc>
        <w:tc>
          <w:tcPr>
            <w:tcW w:w="416" w:type="dxa"/>
            <w:vAlign w:val="center"/>
          </w:tcPr>
          <w:p>
            <w:pPr>
              <w:pStyle w:val="41"/>
              <w:ind w:firstLine="0" w:firstLineChars="0"/>
              <w:jc w:val="cente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99" w:type="dxa"/>
            <w:vAlign w:val="center"/>
          </w:tcPr>
          <w:p>
            <w:pPr>
              <w:widowControl/>
              <w:jc w:val="center"/>
              <w:textAlignment w:val="center"/>
              <w:rPr>
                <w:rFonts w:hint="default" w:asciiTheme="minorHAnsi" w:hAnsiTheme="minorHAnsi" w:eastAsiaTheme="minorEastAsia" w:cstheme="minorBidi"/>
                <w:kern w:val="2"/>
                <w:sz w:val="22"/>
                <w:szCs w:val="22"/>
                <w:lang w:val="en-US" w:eastAsia="zh-CN" w:bidi="ar-SA"/>
              </w:rPr>
            </w:pPr>
            <w:bookmarkStart w:id="142" w:name="_Toc2207"/>
            <w:bookmarkStart w:id="143" w:name="_Toc18834"/>
            <w:bookmarkStart w:id="144" w:name="_Toc32139"/>
            <w:bookmarkStart w:id="145" w:name="_Toc15228291"/>
            <w:r>
              <w:rPr>
                <w:rStyle w:val="67"/>
                <w:rFonts w:hint="eastAsia" w:eastAsia="宋体"/>
                <w:lang w:val="en-US" w:eastAsia="zh-CN"/>
              </w:rPr>
              <w:t>右</w:t>
            </w:r>
            <w:bookmarkStart w:id="186" w:name="_GoBack"/>
            <w:bookmarkEnd w:id="186"/>
            <w:r>
              <w:rPr>
                <w:rStyle w:val="67"/>
                <w:rFonts w:hint="default"/>
              </w:rPr>
              <w:t>岸</w:t>
            </w:r>
          </w:p>
        </w:tc>
        <w:tc>
          <w:tcPr>
            <w:tcW w:w="489" w:type="dxa"/>
            <w:vAlign w:val="center"/>
          </w:tcPr>
          <w:p>
            <w:pPr>
              <w:widowControl/>
              <w:jc w:val="center"/>
              <w:textAlignment w:val="center"/>
              <w:rPr>
                <w:rFonts w:hint="eastAsia" w:asciiTheme="minorHAnsi" w:hAnsiTheme="minorHAnsi" w:eastAsiaTheme="minorEastAsia" w:cstheme="minorBidi"/>
                <w:i/>
                <w:color w:val="000000" w:themeColor="text1"/>
                <w:kern w:val="2"/>
                <w:sz w:val="16"/>
                <w:szCs w:val="22"/>
                <w:lang w:val="en-US" w:eastAsia="zh-CN" w:bidi="ar-SA"/>
              </w:rPr>
            </w:pPr>
            <w:r>
              <w:rPr>
                <w:rFonts w:hint="eastAsia" w:ascii="宋体" w:hAnsi="宋体" w:eastAsia="宋体" w:cs="宋体"/>
                <w:i/>
                <w:color w:val="000000"/>
                <w:kern w:val="0"/>
                <w:sz w:val="16"/>
                <w:szCs w:val="16"/>
              </w:rPr>
              <w:t>无堤防</w:t>
            </w:r>
          </w:p>
        </w:tc>
        <w:tc>
          <w:tcPr>
            <w:tcW w:w="848" w:type="dxa"/>
            <w:vAlign w:val="center"/>
          </w:tcPr>
          <w:p>
            <w:pPr>
              <w:pStyle w:val="41"/>
              <w:ind w:firstLine="0" w:firstLineChars="0"/>
              <w:jc w:val="center"/>
              <w:rPr>
                <w:rFonts w:hint="eastAsia"/>
                <w:color w:val="000000" w:themeColor="text1"/>
                <w:sz w:val="21"/>
                <w:szCs w:val="21"/>
              </w:rPr>
            </w:pPr>
            <w:r>
              <w:rPr>
                <w:rFonts w:hint="eastAsia"/>
                <w:sz w:val="18"/>
                <w:szCs w:val="18"/>
                <w:lang w:val="en-US" w:eastAsia="zh-CN"/>
              </w:rPr>
              <w:t>0.00</w:t>
            </w:r>
          </w:p>
        </w:tc>
        <w:tc>
          <w:tcPr>
            <w:tcW w:w="852" w:type="dxa"/>
            <w:vAlign w:val="center"/>
          </w:tcPr>
          <w:p>
            <w:pPr>
              <w:pStyle w:val="41"/>
              <w:ind w:firstLine="0" w:firstLineChars="0"/>
              <w:jc w:val="center"/>
              <w:rPr>
                <w:rFonts w:hint="eastAsia"/>
                <w:color w:val="000000" w:themeColor="text1"/>
                <w:sz w:val="21"/>
                <w:szCs w:val="21"/>
              </w:rPr>
            </w:pPr>
            <w:r>
              <w:rPr>
                <w:rFonts w:hint="eastAsia"/>
                <w:sz w:val="18"/>
                <w:szCs w:val="18"/>
                <w:lang w:val="en-US" w:eastAsia="zh-CN"/>
              </w:rPr>
              <w:t>2820725.48,531355.359</w:t>
            </w:r>
          </w:p>
        </w:tc>
        <w:tc>
          <w:tcPr>
            <w:tcW w:w="850" w:type="dxa"/>
            <w:vAlign w:val="center"/>
          </w:tcPr>
          <w:p>
            <w:pPr>
              <w:pStyle w:val="41"/>
              <w:ind w:firstLine="0" w:firstLineChars="0"/>
              <w:jc w:val="center"/>
              <w:rPr>
                <w:rFonts w:hint="eastAsia"/>
                <w:color w:val="000000" w:themeColor="text1"/>
                <w:sz w:val="21"/>
                <w:szCs w:val="21"/>
              </w:rPr>
            </w:pPr>
            <w:r>
              <w:rPr>
                <w:rFonts w:hint="eastAsia"/>
                <w:sz w:val="18"/>
                <w:szCs w:val="18"/>
              </w:rPr>
              <w:t>3.94</w:t>
            </w:r>
          </w:p>
        </w:tc>
        <w:tc>
          <w:tcPr>
            <w:tcW w:w="850" w:type="dxa"/>
            <w:vAlign w:val="center"/>
          </w:tcPr>
          <w:p>
            <w:pPr>
              <w:pStyle w:val="41"/>
              <w:ind w:firstLine="0" w:firstLineChars="0"/>
              <w:jc w:val="center"/>
              <w:rPr>
                <w:rFonts w:hint="eastAsia"/>
                <w:color w:val="000000" w:themeColor="text1"/>
                <w:sz w:val="21"/>
                <w:szCs w:val="21"/>
              </w:rPr>
            </w:pPr>
            <w:r>
              <w:rPr>
                <w:rFonts w:hint="eastAsia"/>
                <w:sz w:val="18"/>
                <w:szCs w:val="18"/>
              </w:rPr>
              <w:t>2823614.0</w:t>
            </w:r>
            <w:r>
              <w:rPr>
                <w:rFonts w:hint="eastAsia"/>
                <w:sz w:val="18"/>
                <w:szCs w:val="18"/>
                <w:lang w:val="en-US" w:eastAsia="zh-CN"/>
              </w:rPr>
              <w:t>7</w:t>
            </w:r>
            <w:r>
              <w:rPr>
                <w:rFonts w:hint="eastAsia"/>
                <w:sz w:val="18"/>
                <w:szCs w:val="18"/>
              </w:rPr>
              <w:t>，532409.30</w:t>
            </w:r>
          </w:p>
        </w:tc>
        <w:tc>
          <w:tcPr>
            <w:tcW w:w="424" w:type="dxa"/>
            <w:vAlign w:val="center"/>
          </w:tcPr>
          <w:p>
            <w:pPr>
              <w:pStyle w:val="41"/>
              <w:ind w:firstLine="0" w:firstLineChars="0"/>
              <w:jc w:val="center"/>
              <w:rPr>
                <w:rFonts w:hint="eastAsia" w:asciiTheme="minorEastAsia" w:hAnsiTheme="minorEastAsia" w:eastAsiaTheme="minorEastAsia" w:cstheme="minorEastAsia"/>
                <w:iCs/>
                <w:color w:val="000000" w:themeColor="text1"/>
                <w:kern w:val="2"/>
                <w:sz w:val="16"/>
                <w:szCs w:val="22"/>
                <w:lang w:val="en-US" w:eastAsia="zh-CN" w:bidi="ar-SA"/>
              </w:rPr>
            </w:pPr>
            <w:r>
              <w:rPr>
                <w:rFonts w:hint="eastAsia" w:asciiTheme="minorEastAsia" w:hAnsiTheme="minorEastAsia" w:cstheme="minorEastAsia"/>
                <w:iCs/>
                <w:color w:val="000000" w:themeColor="text1"/>
                <w:sz w:val="16"/>
              </w:rPr>
              <w:t>农村河段</w:t>
            </w:r>
          </w:p>
        </w:tc>
        <w:tc>
          <w:tcPr>
            <w:tcW w:w="1560" w:type="dxa"/>
            <w:vAlign w:val="center"/>
          </w:tcPr>
          <w:p>
            <w:pPr>
              <w:pStyle w:val="41"/>
              <w:ind w:firstLine="0" w:firstLineChars="0"/>
              <w:jc w:val="center"/>
              <w:rPr>
                <w:rFonts w:asciiTheme="minorEastAsia" w:hAnsiTheme="minorEastAsia" w:cstheme="minorEastAsia"/>
                <w:iCs/>
                <w:color w:val="000000" w:themeColor="text1"/>
                <w:sz w:val="16"/>
              </w:rPr>
            </w:pPr>
            <w:r>
              <w:rPr>
                <w:rFonts w:hint="eastAsia" w:asciiTheme="minorEastAsia" w:hAnsiTheme="minorEastAsia" w:cstheme="minorEastAsia"/>
                <w:iCs/>
                <w:color w:val="000000" w:themeColor="text1"/>
                <w:sz w:val="16"/>
              </w:rPr>
              <w:t>湖南省河湖管理范围划定技术导则</w:t>
            </w:r>
          </w:p>
          <w:p>
            <w:pPr>
              <w:pStyle w:val="41"/>
              <w:ind w:firstLine="0" w:firstLineChars="0"/>
              <w:jc w:val="center"/>
              <w:rPr>
                <w:rFonts w:hint="eastAsia" w:asciiTheme="minorEastAsia" w:hAnsiTheme="minorEastAsia" w:eastAsiaTheme="minorEastAsia" w:cstheme="minorEastAsia"/>
                <w:iCs/>
                <w:color w:val="000000" w:themeColor="text1"/>
                <w:kern w:val="2"/>
                <w:sz w:val="16"/>
                <w:szCs w:val="22"/>
                <w:lang w:val="en-US" w:eastAsia="zh-CN" w:bidi="ar-SA"/>
              </w:rPr>
            </w:pPr>
            <w:r>
              <w:rPr>
                <w:rFonts w:hint="eastAsia" w:asciiTheme="minorEastAsia" w:hAnsiTheme="minorEastAsia" w:cstheme="minorEastAsia"/>
                <w:iCs/>
                <w:color w:val="000000" w:themeColor="text1"/>
                <w:sz w:val="16"/>
              </w:rPr>
              <w:t>3.</w:t>
            </w:r>
            <w:r>
              <w:rPr>
                <w:rFonts w:hint="eastAsia" w:asciiTheme="minorEastAsia" w:hAnsiTheme="minorEastAsia" w:cstheme="minorEastAsia"/>
                <w:iCs/>
                <w:color w:val="000000" w:themeColor="text1"/>
                <w:sz w:val="16"/>
                <w:lang w:val="en-US" w:eastAsia="zh-CN"/>
              </w:rPr>
              <w:t>2</w:t>
            </w:r>
          </w:p>
        </w:tc>
        <w:tc>
          <w:tcPr>
            <w:tcW w:w="708" w:type="dxa"/>
            <w:vAlign w:val="center"/>
          </w:tcPr>
          <w:p>
            <w:pPr>
              <w:pStyle w:val="41"/>
              <w:ind w:firstLine="0" w:firstLineChars="0"/>
              <w:jc w:val="center"/>
              <w:rPr>
                <w:rFonts w:asciiTheme="minorEastAsia" w:hAnsiTheme="minorEastAsia" w:eastAsiaTheme="minorEastAsia" w:cstheme="minorEastAsia"/>
                <w:iCs/>
                <w:color w:val="000000" w:themeColor="text1"/>
                <w:kern w:val="2"/>
                <w:sz w:val="22"/>
                <w:szCs w:val="22"/>
                <w:lang w:val="en-US" w:eastAsia="zh-CN" w:bidi="ar-SA"/>
              </w:rPr>
            </w:pPr>
          </w:p>
        </w:tc>
        <w:tc>
          <w:tcPr>
            <w:tcW w:w="1262" w:type="dxa"/>
            <w:vAlign w:val="center"/>
          </w:tcPr>
          <w:p>
            <w:pPr>
              <w:pStyle w:val="41"/>
              <w:ind w:firstLine="0" w:firstLineChars="0"/>
              <w:jc w:val="center"/>
              <w:rPr>
                <w:rFonts w:hint="eastAsia" w:asciiTheme="minorEastAsia" w:hAnsiTheme="minorEastAsia" w:eastAsiaTheme="minorEastAsia" w:cstheme="minorEastAsia"/>
                <w:iCs/>
                <w:color w:val="000000" w:themeColor="text1"/>
                <w:kern w:val="2"/>
                <w:sz w:val="16"/>
                <w:szCs w:val="22"/>
                <w:lang w:val="en-US" w:eastAsia="zh-CN" w:bidi="ar-SA"/>
              </w:rPr>
            </w:pPr>
            <w:r>
              <w:rPr>
                <w:rFonts w:hint="eastAsia" w:asciiTheme="minorEastAsia" w:hAnsiTheme="minorEastAsia" w:cstheme="minorEastAsia"/>
                <w:iCs/>
                <w:color w:val="000000" w:themeColor="text1"/>
                <w:sz w:val="16"/>
              </w:rPr>
              <w:t>10年一遇设计洪水位</w:t>
            </w:r>
          </w:p>
        </w:tc>
        <w:tc>
          <w:tcPr>
            <w:tcW w:w="416" w:type="dxa"/>
            <w:vAlign w:val="center"/>
          </w:tcPr>
          <w:p>
            <w:pPr>
              <w:pStyle w:val="41"/>
              <w:ind w:firstLine="0" w:firstLineChars="0"/>
              <w:jc w:val="center"/>
              <w:rPr>
                <w:sz w:val="22"/>
              </w:rPr>
            </w:pPr>
          </w:p>
        </w:tc>
      </w:tr>
    </w:tbl>
    <w:p>
      <w:pPr>
        <w:pStyle w:val="3"/>
        <w:ind w:left="0" w:firstLine="0"/>
      </w:pPr>
      <w:r>
        <w:rPr>
          <w:rFonts w:hint="eastAsia"/>
        </w:rPr>
        <w:t>其他相关情况说明</w:t>
      </w:r>
      <w:bookmarkEnd w:id="142"/>
      <w:bookmarkEnd w:id="143"/>
      <w:bookmarkEnd w:id="144"/>
      <w:bookmarkEnd w:id="145"/>
    </w:p>
    <w:p>
      <w:pPr>
        <w:pStyle w:val="4"/>
        <w:spacing w:before="0" w:after="0" w:line="240" w:lineRule="auto"/>
        <w:ind w:left="0" w:firstLine="0"/>
      </w:pPr>
      <w:bookmarkStart w:id="146" w:name="_Toc14158"/>
      <w:bookmarkStart w:id="147" w:name="_Toc7055"/>
      <w:bookmarkStart w:id="148" w:name="_Toc21333"/>
      <w:r>
        <w:rPr>
          <w:rFonts w:hint="eastAsia"/>
        </w:rPr>
        <w:t>划界数学基础标准</w:t>
      </w:r>
      <w:bookmarkEnd w:id="146"/>
      <w:bookmarkEnd w:id="147"/>
      <w:bookmarkEnd w:id="148"/>
    </w:p>
    <w:p>
      <w:pPr>
        <w:pStyle w:val="41"/>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1"/>
        <w:ind w:firstLine="560"/>
      </w:pPr>
      <w:r>
        <w:rPr>
          <w:rFonts w:hint="eastAsia" w:ascii="宋体" w:hAnsi="宋体" w:eastAsia="宋体" w:cs="Times New Roman"/>
        </w:rPr>
        <w:t>高程基准：1985国家高程基</w:t>
      </w:r>
      <w:r>
        <w:rPr>
          <w:rFonts w:hint="eastAsia"/>
        </w:rPr>
        <w:t>准；</w:t>
      </w:r>
    </w:p>
    <w:p>
      <w:pPr>
        <w:pStyle w:val="4"/>
        <w:spacing w:before="0" w:after="0" w:line="240" w:lineRule="auto"/>
        <w:ind w:left="0" w:firstLine="0"/>
      </w:pPr>
      <w:bookmarkStart w:id="149" w:name="_Toc8133"/>
      <w:bookmarkStart w:id="150" w:name="_Toc8094"/>
      <w:bookmarkStart w:id="151" w:name="_Toc16882"/>
      <w:r>
        <w:rPr>
          <w:rFonts w:hint="eastAsia"/>
        </w:rPr>
        <w:t>划界连线方式</w:t>
      </w:r>
      <w:bookmarkEnd w:id="149"/>
      <w:bookmarkEnd w:id="150"/>
      <w:bookmarkEnd w:id="151"/>
    </w:p>
    <w:p>
      <w:pPr>
        <w:pStyle w:val="41"/>
        <w:ind w:firstLine="560"/>
      </w:pPr>
      <w:r>
        <w:rPr>
          <w:rFonts w:hint="eastAsia"/>
        </w:rPr>
        <w:t>划界连线时，特别是标准不同的划界连线，管理范围线一般采用垂直方式相连，不同类别的岸线应用不同颜色表示。若条件特殊的，应予以具体说明。</w:t>
      </w:r>
    </w:p>
    <w:p>
      <w:pPr>
        <w:pStyle w:val="4"/>
        <w:spacing w:before="0" w:after="0" w:line="240" w:lineRule="auto"/>
        <w:ind w:left="0" w:firstLine="0"/>
      </w:pPr>
      <w:bookmarkStart w:id="152" w:name="_Toc15130"/>
      <w:bookmarkStart w:id="153" w:name="_Toc24400"/>
      <w:bookmarkStart w:id="154" w:name="_Toc21932"/>
      <w:r>
        <w:rPr>
          <w:rFonts w:hint="eastAsia"/>
        </w:rPr>
        <w:t>河湖划界数据存储格式</w:t>
      </w:r>
      <w:bookmarkEnd w:id="152"/>
      <w:bookmarkEnd w:id="153"/>
      <w:bookmarkEnd w:id="154"/>
    </w:p>
    <w:p>
      <w:pPr>
        <w:pStyle w:val="41"/>
        <w:ind w:firstLine="560"/>
        <w:rPr>
          <w:rFonts w:ascii="宋体" w:hAnsi="宋体" w:eastAsia="宋体" w:cs="Times New Roman"/>
        </w:rPr>
      </w:pPr>
      <w:r>
        <w:rPr>
          <w:rFonts w:ascii="宋体" w:hAnsi="宋体" w:eastAsia="宋体" w:cs="Times New Roman"/>
        </w:rPr>
        <w:t>矢量数据：采用ArcGIS 10.1 File Geodatabase版格式，包含两个数据集，一个是工作底图数据集，命名为BaseMap，一个是划界成果数据集，命名为 RangeResults。</w:t>
      </w:r>
    </w:p>
    <w:p>
      <w:pPr>
        <w:pStyle w:val="41"/>
        <w:ind w:firstLine="560"/>
      </w:pPr>
      <w:r>
        <w:rPr>
          <w:rFonts w:ascii="宋体" w:hAnsi="宋体" w:eastAsia="宋体" w:cs="Times New Roman"/>
        </w:rPr>
        <w:t>影像数据：采用非压缩 GEOTIFF 格式</w:t>
      </w:r>
      <w:r>
        <w:rPr>
          <w:rFonts w:hint="eastAsia"/>
        </w:rPr>
        <w:t>。</w:t>
      </w:r>
    </w:p>
    <w:p>
      <w:pPr>
        <w:pStyle w:val="4"/>
        <w:spacing w:before="0" w:after="0" w:line="240" w:lineRule="auto"/>
        <w:ind w:left="0" w:firstLine="0"/>
      </w:pPr>
      <w:bookmarkStart w:id="155" w:name="_Toc2200"/>
      <w:bookmarkStart w:id="156" w:name="_Toc20173"/>
      <w:bookmarkStart w:id="157" w:name="_Toc16261"/>
      <w:r>
        <w:rPr>
          <w:rFonts w:hint="eastAsia"/>
        </w:rPr>
        <w:t>管理范围界桩编号</w:t>
      </w:r>
      <w:bookmarkEnd w:id="155"/>
      <w:bookmarkEnd w:id="156"/>
      <w:bookmarkEnd w:id="157"/>
    </w:p>
    <w:p>
      <w:pPr>
        <w:pStyle w:val="41"/>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1"/>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 xml:space="preserve"> (</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w:t>
      </w:r>
      <w:r>
        <w:rPr>
          <w:rFonts w:hint="eastAsia" w:ascii="宋体" w:hAnsi="宋体" w:eastAsia="宋体" w:cs="Times New Roman"/>
          <w:lang w:eastAsia="zh-CN"/>
        </w:rPr>
        <w:t>FE1DAAD0000R</w:t>
      </w:r>
      <w:r>
        <w:rPr>
          <w:rFonts w:hint="eastAsia" w:ascii="宋体" w:hAnsi="宋体" w:eastAsia="宋体" w:cs="Times New Roman"/>
        </w:rPr>
        <w:t>-431124-L0003表示，秀江道县左岸第三根非公用界桩。共桩要在各自划界单元中分别编码。当水闸、拦河大坝与河道管理范围一并划定时，可以不用公共界桩区分。</w:t>
      </w:r>
    </w:p>
    <w:p>
      <w:pPr>
        <w:pStyle w:val="41"/>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1"/>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4"/>
        <w:spacing w:before="0" w:after="0" w:line="240" w:lineRule="auto"/>
        <w:ind w:left="0" w:firstLine="0"/>
      </w:pPr>
      <w:bookmarkStart w:id="158" w:name="_Toc32265"/>
      <w:bookmarkStart w:id="159" w:name="_Toc1980"/>
      <w:bookmarkStart w:id="160" w:name="_Toc10413"/>
      <w:r>
        <w:rPr>
          <w:rFonts w:hint="eastAsia"/>
        </w:rPr>
        <w:t>管理范围告示牌编号</w:t>
      </w:r>
      <w:bookmarkEnd w:id="158"/>
      <w:bookmarkEnd w:id="159"/>
      <w:bookmarkEnd w:id="160"/>
    </w:p>
    <w:p>
      <w:pPr>
        <w:pStyle w:val="41"/>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w:t>
      </w:r>
      <w:r>
        <w:rPr>
          <w:rFonts w:hint="eastAsia" w:ascii="宋体" w:hAnsi="宋体" w:eastAsia="宋体" w:cs="Times New Roman"/>
          <w:lang w:eastAsia="zh-CN"/>
        </w:rPr>
        <w:t>FE1DAAD0000R</w:t>
      </w:r>
      <w:r>
        <w:rPr>
          <w:rFonts w:hint="eastAsia" w:ascii="宋体" w:hAnsi="宋体" w:eastAsia="宋体" w:cs="Times New Roman"/>
        </w:rPr>
        <w:t>-431124-L003表示，秀江道县河段左岸第三座告示牌</w:t>
      </w:r>
      <w:r>
        <w:rPr>
          <w:rFonts w:hint="eastAsia"/>
        </w:rPr>
        <w:t>。</w:t>
      </w:r>
    </w:p>
    <w:p>
      <w:pPr>
        <w:pStyle w:val="4"/>
        <w:spacing w:before="0" w:after="0" w:line="240" w:lineRule="auto"/>
        <w:ind w:left="0" w:firstLine="0"/>
        <w:rPr>
          <w:sz w:val="28"/>
        </w:rPr>
      </w:pPr>
      <w:bookmarkStart w:id="161" w:name="_Toc21621"/>
      <w:bookmarkStart w:id="162" w:name="_Toc6886"/>
      <w:bookmarkStart w:id="163" w:name="_Toc25728"/>
      <w:r>
        <w:rPr>
          <w:rFonts w:hint="eastAsia"/>
        </w:rPr>
        <w:t>界桩、告示牌制作与埋设</w:t>
      </w:r>
      <w:bookmarkEnd w:id="161"/>
      <w:bookmarkEnd w:id="162"/>
      <w:bookmarkEnd w:id="163"/>
    </w:p>
    <w:p>
      <w:pPr>
        <w:pStyle w:val="5"/>
        <w:spacing w:before="0" w:after="0" w:line="240" w:lineRule="auto"/>
        <w:ind w:left="0" w:firstLine="0"/>
      </w:pPr>
      <w:bookmarkStart w:id="164" w:name="_Toc17812"/>
      <w:bookmarkStart w:id="165" w:name="_Toc6630"/>
      <w:bookmarkStart w:id="166" w:name="_Toc31736"/>
      <w:bookmarkStart w:id="167" w:name="_Toc6543"/>
      <w:r>
        <w:rPr>
          <w:rFonts w:hint="eastAsia"/>
        </w:rPr>
        <w:t>界桩制作</w:t>
      </w:r>
      <w:bookmarkEnd w:id="164"/>
      <w:bookmarkEnd w:id="165"/>
      <w:bookmarkEnd w:id="166"/>
      <w:bookmarkEnd w:id="167"/>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按照统一的技术规格制作管理范围界桩（牌），界桩（牌）的制作可以采取预制或者现场浇筑两种方式</w:t>
      </w:r>
      <w:r>
        <w:rPr>
          <w:rFonts w:hint="eastAsia" w:ascii="宋体" w:hAnsi="宋体" w:eastAsia="宋体"/>
          <w:sz w:val="24"/>
          <w:szCs w:val="24"/>
        </w:rPr>
        <w:t>。</w:t>
      </w:r>
    </w:p>
    <w:p>
      <w:pPr>
        <w:pStyle w:val="5"/>
        <w:spacing w:before="0" w:after="0" w:line="240" w:lineRule="auto"/>
        <w:ind w:left="0" w:firstLine="0"/>
      </w:pPr>
      <w:bookmarkStart w:id="168" w:name="_Toc8766"/>
      <w:bookmarkStart w:id="169" w:name="_Toc4816"/>
      <w:bookmarkStart w:id="170" w:name="_Toc24327"/>
      <w:bookmarkStart w:id="171" w:name="_Toc22542"/>
      <w:r>
        <w:rPr>
          <w:rFonts w:hint="eastAsia"/>
        </w:rPr>
        <w:t>界桩埋设</w:t>
      </w:r>
      <w:bookmarkEnd w:id="168"/>
      <w:bookmarkEnd w:id="169"/>
      <w:bookmarkEnd w:id="170"/>
      <w:bookmarkEnd w:id="171"/>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 “界桩保护协议书”，明确界桩保护职责。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spacing w:before="0" w:after="0" w:line="240" w:lineRule="auto"/>
        <w:ind w:left="0" w:firstLine="0"/>
      </w:pPr>
      <w:bookmarkStart w:id="172" w:name="_Toc4704"/>
      <w:bookmarkStart w:id="173" w:name="_Toc18100"/>
      <w:bookmarkStart w:id="174" w:name="_Toc1470"/>
      <w:bookmarkStart w:id="175" w:name="_Toc10286"/>
      <w:r>
        <w:rPr>
          <w:rFonts w:hint="eastAsia"/>
        </w:rPr>
        <w:t>告示牌制作</w:t>
      </w:r>
      <w:bookmarkEnd w:id="172"/>
      <w:bookmarkEnd w:id="173"/>
      <w:bookmarkEnd w:id="174"/>
      <w:bookmarkEnd w:id="175"/>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spacing w:before="0" w:after="0" w:line="240" w:lineRule="auto"/>
        <w:ind w:left="0" w:firstLine="0"/>
      </w:pPr>
      <w:bookmarkStart w:id="176" w:name="_Toc17779"/>
      <w:bookmarkStart w:id="177" w:name="_Toc16249"/>
      <w:bookmarkStart w:id="178" w:name="_Toc12835"/>
      <w:bookmarkStart w:id="179" w:name="_Toc25696"/>
      <w:r>
        <w:rPr>
          <w:rFonts w:hint="eastAsia"/>
        </w:rPr>
        <w:t>告示牌埋设</w:t>
      </w:r>
      <w:bookmarkEnd w:id="176"/>
      <w:bookmarkEnd w:id="177"/>
      <w:bookmarkEnd w:id="178"/>
      <w:bookmarkEnd w:id="179"/>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4"/>
        <w:spacing w:before="0" w:after="0" w:line="240" w:lineRule="auto"/>
        <w:ind w:left="0" w:firstLine="0"/>
      </w:pPr>
      <w:bookmarkStart w:id="180" w:name="_Toc26720"/>
      <w:bookmarkStart w:id="181" w:name="_Toc3541109"/>
      <w:bookmarkStart w:id="182" w:name="_Toc31869"/>
      <w:bookmarkStart w:id="183" w:name="_Toc25966"/>
      <w:r>
        <w:rPr>
          <w:rFonts w:hint="eastAsia"/>
        </w:rPr>
        <w:t>界桩和告示牌位置采集</w:t>
      </w:r>
      <w:bookmarkEnd w:id="180"/>
      <w:bookmarkEnd w:id="181"/>
      <w:bookmarkEnd w:id="182"/>
      <w:bookmarkEnd w:id="183"/>
    </w:p>
    <w:p>
      <w:pPr>
        <w:pStyle w:val="41"/>
        <w:ind w:firstLine="560"/>
        <w:sectPr>
          <w:footerReference r:id="rId4"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Times New Roman"/>
        </w:rPr>
        <w:t>界桩和告示牌埋设完毕后，将界桩和告示牌的最终位置在图上标绘，对于在工作底图上难以定位的界桩和告示牌，基于 HNCORS系统，釆用基于GPS-RTK技术实测界桩和告示牌的坐标；并在内业基于实地标绘和测量的成果对界桩布设图和管理范围线拐点进行修正，形成最终的界桩点分布图、告示牌分布图和管理范围。</w:t>
      </w:r>
    </w:p>
    <w:p>
      <w:pPr>
        <w:pStyle w:val="3"/>
        <w:spacing w:before="120" w:after="120" w:line="360" w:lineRule="auto"/>
        <w:ind w:left="0" w:firstLine="0"/>
      </w:pPr>
      <w:bookmarkStart w:id="184" w:name="_Toc30211"/>
      <w:bookmarkStart w:id="185" w:name="_Toc31803"/>
      <w:r>
        <w:rPr>
          <w:rFonts w:hint="eastAsia"/>
        </w:rPr>
        <w:t>附件</w:t>
      </w:r>
      <w:bookmarkEnd w:id="184"/>
      <w:bookmarkEnd w:id="185"/>
    </w:p>
    <w:p>
      <w:pPr>
        <w:jc w:val="left"/>
        <w:rPr>
          <w:b/>
          <w:sz w:val="28"/>
        </w:rPr>
      </w:pPr>
      <w:r>
        <w:rPr>
          <w:rFonts w:hint="eastAsia"/>
          <w:b/>
          <w:sz w:val="28"/>
        </w:rPr>
        <w:t>附表  秀江道县河段管理范围界桩成果表</w:t>
      </w:r>
    </w:p>
    <w:tbl>
      <w:tblPr>
        <w:tblStyle w:val="22"/>
        <w:tblW w:w="8522" w:type="dxa"/>
        <w:jc w:val="center"/>
        <w:tblLayout w:type="fixed"/>
        <w:tblCellMar>
          <w:top w:w="0" w:type="dxa"/>
          <w:left w:w="108" w:type="dxa"/>
          <w:bottom w:w="0" w:type="dxa"/>
          <w:right w:w="108" w:type="dxa"/>
        </w:tblCellMar>
      </w:tblPr>
      <w:tblGrid>
        <w:gridCol w:w="675"/>
        <w:gridCol w:w="3402"/>
        <w:gridCol w:w="1594"/>
        <w:gridCol w:w="1605"/>
        <w:gridCol w:w="1246"/>
      </w:tblGrid>
      <w:tr>
        <w:tblPrEx>
          <w:tblCellMar>
            <w:top w:w="0" w:type="dxa"/>
            <w:left w:w="108" w:type="dxa"/>
            <w:bottom w:w="0" w:type="dxa"/>
            <w:right w:w="108" w:type="dxa"/>
          </w:tblCellMar>
        </w:tblPrEx>
        <w:trPr>
          <w:trHeight w:val="312"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40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桩名（编号）</w:t>
            </w:r>
          </w:p>
        </w:tc>
        <w:tc>
          <w:tcPr>
            <w:tcW w:w="319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124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312"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34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5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X</w:t>
            </w:r>
          </w:p>
        </w:tc>
        <w:tc>
          <w:tcPr>
            <w:tcW w:w="160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Y</w:t>
            </w:r>
          </w:p>
        </w:tc>
        <w:tc>
          <w:tcPr>
            <w:tcW w:w="12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1</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FE1DAAD0000R-431124-L4001</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Tahoma"/>
                <w:color w:val="000000"/>
                <w:sz w:val="22"/>
                <w:lang w:val="en-US" w:eastAsia="zh-CN"/>
              </w:rPr>
            </w:pPr>
            <w:r>
              <w:rPr>
                <w:rFonts w:hint="eastAsia" w:ascii="宋体" w:hAnsi="宋体" w:eastAsia="宋体" w:cs="宋体"/>
                <w:i w:val="0"/>
                <w:iCs w:val="0"/>
                <w:color w:val="000000"/>
                <w:kern w:val="0"/>
                <w:sz w:val="22"/>
                <w:szCs w:val="22"/>
                <w:u w:val="none"/>
                <w:lang w:val="en-US" w:eastAsia="zh-CN" w:bidi="ar"/>
              </w:rPr>
              <w:t>531330.55</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2820710.63</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eastAsia="zh-CN"/>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2</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FE1DAAD0000R-431124-L4002</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531375.53</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2820957.63</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3</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FE1DAAD0000R-431124-L4003</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531399.91</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2821224.85</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90"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4</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FE1DAAD0000R-431124-L4004</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531490.39</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2821335.93</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5</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FE1DAAD0000R-431124-L0005</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531809.77</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2821359.36</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6</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FE1DAAD0000R-431124-L0006</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531805.71</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2821546.87</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7</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FE1DAAD0000R-431124-L0007</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531844.69</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2821688.19</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8</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FE1DAAD0000R-431124-L0008</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531932.03</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2821921.99</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9</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FE1DAAD0000R-431124-L0009</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531867.30</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2822080.14</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10</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FE1DAAD0000R-431124-L0010</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531963.71</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2822215.87</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11</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FE1DAAD0000R-431124-L0011</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532045.13</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2822530.51</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12</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FE1DAAD0000R-431124-L0012</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532140.20</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2822734.81</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13</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FE1DAAD0000R-431124-L0013</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532108.01</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2822974.46</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14</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FE1DAAD0000R-431124-L4014</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532160.22</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2823414.39</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15</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FE1DAAD0000R-431124-L0015</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532329.54</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2823464.13</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16</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FE1DAAD0000R-431124-L0016</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532409.30</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2823614.07</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17</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FE1DAAD0000R-431124-R4001</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531378.65</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2821007.55</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18</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FE1DAAD0000R-431124-R4002</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531659.11</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2821314.77</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675" w:type="dxa"/>
            <w:tcBorders>
              <w:top w:val="nil"/>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19</w:t>
            </w:r>
          </w:p>
        </w:tc>
        <w:tc>
          <w:tcPr>
            <w:tcW w:w="340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FE1DAAD0000R-431124-R0003</w:t>
            </w:r>
          </w:p>
        </w:tc>
        <w:tc>
          <w:tcPr>
            <w:tcW w:w="15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531738.07</w:t>
            </w:r>
          </w:p>
        </w:tc>
        <w:tc>
          <w:tcPr>
            <w:tcW w:w="160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2821488.29</w:t>
            </w:r>
          </w:p>
        </w:tc>
        <w:tc>
          <w:tcPr>
            <w:tcW w:w="124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右</w:t>
            </w:r>
            <w:r>
              <w:rPr>
                <w:rFonts w:hint="eastAsia" w:ascii="宋体" w:hAnsi="宋体" w:eastAsia="宋体" w:cs="宋体"/>
                <w:kern w:val="0"/>
                <w:sz w:val="22"/>
              </w:rPr>
              <w:t>岸</w:t>
            </w:r>
          </w:p>
        </w:tc>
      </w:tr>
      <w:tr>
        <w:tblPrEx>
          <w:tblCellMar>
            <w:top w:w="0" w:type="dxa"/>
            <w:left w:w="108" w:type="dxa"/>
            <w:bottom w:w="0" w:type="dxa"/>
            <w:right w:w="108" w:type="dxa"/>
          </w:tblCellMar>
        </w:tblPrEx>
        <w:trPr>
          <w:trHeight w:val="312"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bottom"/>
          </w:tcPr>
          <w:p>
            <w:pPr>
              <w:jc w:val="center"/>
              <w:rPr>
                <w:rFonts w:ascii="宋体" w:hAnsi="宋体" w:eastAsia="宋体" w:cs="Tahoma"/>
                <w:color w:val="000000"/>
                <w:sz w:val="22"/>
              </w:rPr>
            </w:pPr>
            <w:r>
              <w:rPr>
                <w:rFonts w:hint="eastAsia" w:cs="Tahoma"/>
                <w:color w:val="000000"/>
                <w:sz w:val="22"/>
              </w:rPr>
              <w:t>20</w:t>
            </w:r>
          </w:p>
        </w:tc>
        <w:tc>
          <w:tcPr>
            <w:tcW w:w="34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FE1DAAD0000R-431124-R4004</w:t>
            </w:r>
          </w:p>
        </w:tc>
        <w:tc>
          <w:tcPr>
            <w:tcW w:w="159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531788.45</w:t>
            </w:r>
          </w:p>
        </w:tc>
        <w:tc>
          <w:tcPr>
            <w:tcW w:w="16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Tahoma"/>
                <w:color w:val="000000"/>
                <w:sz w:val="22"/>
              </w:rPr>
            </w:pPr>
            <w:r>
              <w:rPr>
                <w:rFonts w:hint="eastAsia" w:ascii="宋体" w:hAnsi="宋体" w:eastAsia="宋体" w:cs="宋体"/>
                <w:i w:val="0"/>
                <w:iCs w:val="0"/>
                <w:color w:val="000000"/>
                <w:kern w:val="0"/>
                <w:sz w:val="22"/>
                <w:szCs w:val="22"/>
                <w:u w:val="none"/>
                <w:lang w:val="en-US" w:eastAsia="zh-CN" w:bidi="ar"/>
              </w:rPr>
              <w:t>2822010.91</w:t>
            </w: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bottom"/>
          </w:tcPr>
          <w:p>
            <w:pPr>
              <w:jc w:val="center"/>
              <w:rPr>
                <w:rFonts w:hint="default" w:cs="Tahoma" w:eastAsiaTheme="minorEastAsia"/>
                <w:color w:val="000000"/>
                <w:sz w:val="22"/>
                <w:lang w:val="en-US" w:eastAsia="zh-CN"/>
              </w:rPr>
            </w:pPr>
            <w:r>
              <w:rPr>
                <w:rFonts w:hint="eastAsia" w:cs="Tahoma"/>
                <w:color w:val="000000"/>
                <w:sz w:val="22"/>
                <w:lang w:val="en-US" w:eastAsia="zh-CN"/>
              </w:rPr>
              <w:t>21</w:t>
            </w:r>
          </w:p>
        </w:tc>
        <w:tc>
          <w:tcPr>
            <w:tcW w:w="34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2"/>
                <w:lang w:eastAsia="zh-CN"/>
              </w:rPr>
            </w:pPr>
            <w:r>
              <w:rPr>
                <w:rFonts w:hint="eastAsia" w:ascii="宋体" w:hAnsi="宋体" w:eastAsia="宋体" w:cs="宋体"/>
                <w:i w:val="0"/>
                <w:iCs w:val="0"/>
                <w:color w:val="000000"/>
                <w:kern w:val="0"/>
                <w:sz w:val="22"/>
                <w:szCs w:val="22"/>
                <w:u w:val="none"/>
                <w:lang w:val="en-US" w:eastAsia="zh-CN" w:bidi="ar"/>
              </w:rPr>
              <w:t>FE1DAAD0000R-431124-R4005</w:t>
            </w:r>
          </w:p>
        </w:tc>
        <w:tc>
          <w:tcPr>
            <w:tcW w:w="159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531796.76</w:t>
            </w:r>
          </w:p>
        </w:tc>
        <w:tc>
          <w:tcPr>
            <w:tcW w:w="16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2822108.79</w:t>
            </w: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bottom"/>
          </w:tcPr>
          <w:p>
            <w:pPr>
              <w:jc w:val="center"/>
              <w:rPr>
                <w:rFonts w:hint="default" w:cs="Tahoma" w:eastAsiaTheme="minorEastAsia"/>
                <w:color w:val="000000"/>
                <w:sz w:val="22"/>
                <w:lang w:val="en-US" w:eastAsia="zh-CN"/>
              </w:rPr>
            </w:pPr>
            <w:r>
              <w:rPr>
                <w:rFonts w:hint="eastAsia" w:cs="Tahoma"/>
                <w:color w:val="000000"/>
                <w:sz w:val="22"/>
                <w:lang w:val="en-US" w:eastAsia="zh-CN"/>
              </w:rPr>
              <w:t>22</w:t>
            </w:r>
          </w:p>
        </w:tc>
        <w:tc>
          <w:tcPr>
            <w:tcW w:w="34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2"/>
                <w:lang w:eastAsia="zh-CN"/>
              </w:rPr>
            </w:pPr>
            <w:r>
              <w:rPr>
                <w:rFonts w:hint="eastAsia" w:ascii="宋体" w:hAnsi="宋体" w:eastAsia="宋体" w:cs="宋体"/>
                <w:i w:val="0"/>
                <w:iCs w:val="0"/>
                <w:color w:val="000000"/>
                <w:kern w:val="0"/>
                <w:sz w:val="22"/>
                <w:szCs w:val="22"/>
                <w:u w:val="none"/>
                <w:lang w:val="en-US" w:eastAsia="zh-CN" w:bidi="ar"/>
              </w:rPr>
              <w:t>FE1DAAD0000R-431124-R4006</w:t>
            </w:r>
          </w:p>
        </w:tc>
        <w:tc>
          <w:tcPr>
            <w:tcW w:w="159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532001.58</w:t>
            </w:r>
          </w:p>
        </w:tc>
        <w:tc>
          <w:tcPr>
            <w:tcW w:w="16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2822464.09</w:t>
            </w: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公共界桩</w:t>
            </w:r>
          </w:p>
        </w:tc>
      </w:tr>
      <w:tr>
        <w:tblPrEx>
          <w:tblCellMar>
            <w:top w:w="0" w:type="dxa"/>
            <w:left w:w="108" w:type="dxa"/>
            <w:bottom w:w="0" w:type="dxa"/>
            <w:right w:w="108" w:type="dxa"/>
          </w:tblCellMar>
        </w:tblPrEx>
        <w:trPr>
          <w:trHeight w:val="312"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bottom"/>
          </w:tcPr>
          <w:p>
            <w:pPr>
              <w:jc w:val="center"/>
              <w:rPr>
                <w:rFonts w:hint="default" w:cs="Tahoma" w:eastAsiaTheme="minorEastAsia"/>
                <w:color w:val="000000"/>
                <w:sz w:val="22"/>
                <w:lang w:val="en-US" w:eastAsia="zh-CN"/>
              </w:rPr>
            </w:pPr>
            <w:r>
              <w:rPr>
                <w:rFonts w:hint="eastAsia" w:cs="Tahoma"/>
                <w:color w:val="000000"/>
                <w:sz w:val="22"/>
                <w:lang w:val="en-US" w:eastAsia="zh-CN"/>
              </w:rPr>
              <w:t>23</w:t>
            </w:r>
          </w:p>
        </w:tc>
        <w:tc>
          <w:tcPr>
            <w:tcW w:w="34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2"/>
                <w:lang w:eastAsia="zh-CN"/>
              </w:rPr>
            </w:pPr>
            <w:r>
              <w:rPr>
                <w:rFonts w:hint="eastAsia" w:ascii="宋体" w:hAnsi="宋体" w:eastAsia="宋体" w:cs="宋体"/>
                <w:i w:val="0"/>
                <w:iCs w:val="0"/>
                <w:color w:val="000000"/>
                <w:kern w:val="0"/>
                <w:sz w:val="22"/>
                <w:szCs w:val="22"/>
                <w:u w:val="none"/>
                <w:lang w:val="en-US" w:eastAsia="zh-CN" w:bidi="ar"/>
              </w:rPr>
              <w:t>FE1DAAD0000R-431124-R0007</w:t>
            </w:r>
          </w:p>
        </w:tc>
        <w:tc>
          <w:tcPr>
            <w:tcW w:w="159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532116.69</w:t>
            </w:r>
          </w:p>
        </w:tc>
        <w:tc>
          <w:tcPr>
            <w:tcW w:w="16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2822835.15</w:t>
            </w: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右</w:t>
            </w:r>
            <w:r>
              <w:rPr>
                <w:rFonts w:hint="eastAsia" w:ascii="宋体" w:hAnsi="宋体" w:eastAsia="宋体" w:cs="宋体"/>
                <w:kern w:val="0"/>
                <w:sz w:val="22"/>
              </w:rPr>
              <w:t>岸</w:t>
            </w:r>
          </w:p>
        </w:tc>
      </w:tr>
      <w:tr>
        <w:tblPrEx>
          <w:tblCellMar>
            <w:top w:w="0" w:type="dxa"/>
            <w:left w:w="108" w:type="dxa"/>
            <w:bottom w:w="0" w:type="dxa"/>
            <w:right w:w="108" w:type="dxa"/>
          </w:tblCellMar>
        </w:tblPrEx>
        <w:trPr>
          <w:trHeight w:val="312"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bottom"/>
          </w:tcPr>
          <w:p>
            <w:pPr>
              <w:jc w:val="center"/>
              <w:rPr>
                <w:rFonts w:hint="default" w:cs="Tahoma" w:eastAsiaTheme="minorEastAsia"/>
                <w:color w:val="000000"/>
                <w:sz w:val="22"/>
                <w:lang w:val="en-US" w:eastAsia="zh-CN"/>
              </w:rPr>
            </w:pPr>
            <w:r>
              <w:rPr>
                <w:rFonts w:hint="eastAsia" w:cs="Tahoma"/>
                <w:color w:val="000000"/>
                <w:sz w:val="22"/>
                <w:lang w:val="en-US" w:eastAsia="zh-CN"/>
              </w:rPr>
              <w:t>24</w:t>
            </w:r>
          </w:p>
        </w:tc>
        <w:tc>
          <w:tcPr>
            <w:tcW w:w="34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2"/>
                <w:lang w:eastAsia="zh-CN"/>
              </w:rPr>
            </w:pPr>
            <w:r>
              <w:rPr>
                <w:rFonts w:hint="eastAsia" w:ascii="宋体" w:hAnsi="宋体" w:eastAsia="宋体" w:cs="宋体"/>
                <w:i w:val="0"/>
                <w:iCs w:val="0"/>
                <w:color w:val="000000"/>
                <w:kern w:val="0"/>
                <w:sz w:val="22"/>
                <w:szCs w:val="22"/>
                <w:u w:val="none"/>
                <w:lang w:val="en-US" w:eastAsia="zh-CN" w:bidi="ar"/>
              </w:rPr>
              <w:t>FE1DAAD0000R-431124-R4008</w:t>
            </w:r>
          </w:p>
        </w:tc>
        <w:tc>
          <w:tcPr>
            <w:tcW w:w="159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532255.31</w:t>
            </w:r>
          </w:p>
        </w:tc>
        <w:tc>
          <w:tcPr>
            <w:tcW w:w="160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2823447.10</w:t>
            </w:r>
          </w:p>
        </w:tc>
        <w:tc>
          <w:tcPr>
            <w:tcW w:w="124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lang w:val="en-US" w:eastAsia="zh-CN"/>
              </w:rPr>
              <w:t>公共界桩</w:t>
            </w:r>
          </w:p>
        </w:tc>
      </w:tr>
    </w:tbl>
    <w:p>
      <w:pPr>
        <w:rPr>
          <w:szCs w:val="21"/>
        </w:rPr>
      </w:pPr>
      <w:r>
        <w:rPr>
          <w:rFonts w:hint="eastAsia"/>
          <w:szCs w:val="21"/>
        </w:rPr>
        <w:t>注：表中坐标系统：2000国家大地坐标系，中央经线111°；</w:t>
      </w:r>
    </w:p>
    <w:p>
      <w:pPr>
        <w:ind w:firstLine="420" w:firstLineChars="200"/>
        <w:rPr>
          <w:rFonts w:hint="eastAsia"/>
          <w:szCs w:val="21"/>
        </w:rPr>
      </w:pPr>
      <w:r>
        <w:rPr>
          <w:rFonts w:hint="eastAsia"/>
          <w:szCs w:val="21"/>
        </w:rPr>
        <w:t>高程系统：1985国家高程基准</w:t>
      </w:r>
    </w:p>
    <w:p>
      <w:pPr>
        <w:pStyle w:val="2"/>
        <w:rPr>
          <w:rFonts w:hint="eastAsia"/>
          <w:szCs w:val="21"/>
        </w:rPr>
      </w:pPr>
    </w:p>
    <w:p>
      <w:pPr>
        <w:rPr>
          <w:b/>
          <w:bCs/>
          <w:sz w:val="28"/>
          <w:szCs w:val="28"/>
        </w:rPr>
      </w:pPr>
      <w:r>
        <w:rPr>
          <w:rFonts w:hint="eastAsia"/>
          <w:b/>
          <w:bCs/>
          <w:sz w:val="28"/>
          <w:szCs w:val="28"/>
        </w:rPr>
        <w:t>附表   秀江道县河段告示牌成果表</w:t>
      </w:r>
    </w:p>
    <w:tbl>
      <w:tblPr>
        <w:tblStyle w:val="22"/>
        <w:tblW w:w="8522" w:type="dxa"/>
        <w:jc w:val="center"/>
        <w:tblLayout w:type="fixed"/>
        <w:tblCellMar>
          <w:top w:w="0" w:type="dxa"/>
          <w:left w:w="108" w:type="dxa"/>
          <w:bottom w:w="0" w:type="dxa"/>
          <w:right w:w="108" w:type="dxa"/>
        </w:tblCellMar>
      </w:tblPr>
      <w:tblGrid>
        <w:gridCol w:w="736"/>
        <w:gridCol w:w="3279"/>
        <w:gridCol w:w="1905"/>
        <w:gridCol w:w="1701"/>
        <w:gridCol w:w="901"/>
      </w:tblGrid>
      <w:tr>
        <w:tblPrEx>
          <w:tblCellMar>
            <w:top w:w="0" w:type="dxa"/>
            <w:left w:w="108" w:type="dxa"/>
            <w:bottom w:w="0" w:type="dxa"/>
            <w:right w:w="108" w:type="dxa"/>
          </w:tblCellMar>
        </w:tblPrEx>
        <w:trPr>
          <w:trHeight w:val="312" w:hRule="atLeast"/>
          <w:jc w:val="center"/>
        </w:trPr>
        <w:tc>
          <w:tcPr>
            <w:tcW w:w="73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279"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告示牌（编号）</w:t>
            </w:r>
          </w:p>
        </w:tc>
        <w:tc>
          <w:tcPr>
            <w:tcW w:w="360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90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312" w:hRule="atLeast"/>
          <w:jc w:val="center"/>
        </w:trPr>
        <w:tc>
          <w:tcPr>
            <w:tcW w:w="7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32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90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X</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Y</w:t>
            </w:r>
          </w:p>
        </w:tc>
        <w:tc>
          <w:tcPr>
            <w:tcW w:w="9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12" w:hRule="atLeast"/>
          <w:jc w:val="center"/>
        </w:trPr>
        <w:tc>
          <w:tcPr>
            <w:tcW w:w="736" w:type="dxa"/>
            <w:tcBorders>
              <w:top w:val="single" w:color="auto" w:sz="4" w:space="0"/>
              <w:left w:val="single" w:color="auto" w:sz="4" w:space="0"/>
              <w:bottom w:val="single" w:color="auto" w:sz="4" w:space="0"/>
              <w:right w:val="single" w:color="auto" w:sz="4" w:space="0"/>
            </w:tcBorders>
            <w:vAlign w:val="bottom"/>
          </w:tcPr>
          <w:p>
            <w:pPr>
              <w:jc w:val="center"/>
              <w:rPr>
                <w:rFonts w:cs="Tahoma"/>
                <w:color w:val="000000"/>
                <w:sz w:val="22"/>
              </w:rPr>
            </w:pPr>
            <w:r>
              <w:rPr>
                <w:rFonts w:hint="eastAsia" w:cs="Tahoma"/>
                <w:color w:val="000000"/>
                <w:sz w:val="22"/>
              </w:rPr>
              <w:t>1</w:t>
            </w:r>
          </w:p>
        </w:tc>
        <w:tc>
          <w:tcPr>
            <w:tcW w:w="327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lang w:eastAsia="zh-CN"/>
              </w:rPr>
              <w:t>FE1DAAD0000R</w:t>
            </w:r>
            <w:r>
              <w:rPr>
                <w:rFonts w:hint="eastAsia" w:ascii="宋体" w:hAnsi="宋体" w:eastAsia="宋体" w:cs="宋体"/>
                <w:color w:val="000000"/>
                <w:kern w:val="0"/>
                <w:sz w:val="22"/>
              </w:rPr>
              <w:t>-431124-L001</w:t>
            </w:r>
          </w:p>
        </w:tc>
        <w:tc>
          <w:tcPr>
            <w:tcW w:w="1905"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531392.87</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 xml:space="preserve">2820919.86 </w:t>
            </w:r>
          </w:p>
        </w:tc>
        <w:tc>
          <w:tcPr>
            <w:tcW w:w="90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2" w:hRule="atLeast"/>
          <w:jc w:val="center"/>
        </w:trPr>
        <w:tc>
          <w:tcPr>
            <w:tcW w:w="736" w:type="dxa"/>
            <w:tcBorders>
              <w:top w:val="nil"/>
              <w:left w:val="single" w:color="auto" w:sz="4" w:space="0"/>
              <w:bottom w:val="single" w:color="auto" w:sz="4" w:space="0"/>
              <w:right w:val="single" w:color="auto" w:sz="4" w:space="0"/>
            </w:tcBorders>
            <w:shd w:val="clear" w:color="auto" w:fill="auto"/>
            <w:noWrap/>
            <w:vAlign w:val="bottom"/>
          </w:tcPr>
          <w:p>
            <w:pPr>
              <w:jc w:val="center"/>
              <w:rPr>
                <w:rFonts w:cs="Tahoma"/>
                <w:color w:val="000000"/>
                <w:sz w:val="22"/>
              </w:rPr>
            </w:pPr>
            <w:r>
              <w:rPr>
                <w:rFonts w:hint="eastAsia" w:cs="Tahoma"/>
                <w:color w:val="000000"/>
                <w:sz w:val="22"/>
              </w:rPr>
              <w:t>2</w:t>
            </w:r>
          </w:p>
        </w:tc>
        <w:tc>
          <w:tcPr>
            <w:tcW w:w="3279"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Tahoma"/>
                <w:color w:val="000000"/>
                <w:sz w:val="22"/>
              </w:rPr>
            </w:pPr>
            <w:r>
              <w:rPr>
                <w:rFonts w:hint="eastAsia" w:ascii="宋体" w:hAnsi="宋体" w:eastAsia="宋体" w:cs="宋体"/>
                <w:color w:val="000000"/>
                <w:kern w:val="0"/>
                <w:sz w:val="22"/>
                <w:lang w:eastAsia="zh-CN"/>
              </w:rPr>
              <w:t>FE1DAAD0000R</w:t>
            </w:r>
            <w:r>
              <w:rPr>
                <w:rFonts w:hint="eastAsia" w:ascii="宋体" w:hAnsi="宋体" w:eastAsia="宋体" w:cs="宋体"/>
                <w:color w:val="000000"/>
                <w:kern w:val="0"/>
                <w:sz w:val="22"/>
              </w:rPr>
              <w:t>-431124-L002</w:t>
            </w:r>
          </w:p>
        </w:tc>
        <w:tc>
          <w:tcPr>
            <w:tcW w:w="1905"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531912.62</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 xml:space="preserve">2822176.96 </w:t>
            </w:r>
          </w:p>
        </w:tc>
        <w:tc>
          <w:tcPr>
            <w:tcW w:w="9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bl>
    <w:p>
      <w:pPr>
        <w:rPr>
          <w:szCs w:val="21"/>
        </w:rPr>
      </w:pPr>
      <w:r>
        <w:rPr>
          <w:rFonts w:hint="eastAsia"/>
          <w:szCs w:val="21"/>
        </w:rPr>
        <w:t>注：表中坐标系统：2000国家大地坐标系，中央经线111°；</w:t>
      </w:r>
    </w:p>
    <w:p>
      <w:pPr>
        <w:ind w:firstLine="420" w:firstLineChars="200"/>
        <w:rPr>
          <w:szCs w:val="21"/>
        </w:rPr>
      </w:pPr>
      <w:r>
        <w:rPr>
          <w:rFonts w:hint="eastAsia"/>
          <w:szCs w:val="21"/>
        </w:rPr>
        <w:t>高程系统：1985国家高程基准</w:t>
      </w:r>
    </w:p>
    <w:p>
      <w:pPr>
        <w:jc w:val="left"/>
        <w:rPr>
          <w:b/>
          <w:sz w:val="28"/>
        </w:rPr>
      </w:pPr>
    </w:p>
    <w:p>
      <w:pPr>
        <w:jc w:val="left"/>
        <w:rPr>
          <w:b/>
          <w:sz w:val="28"/>
        </w:rPr>
      </w:pPr>
      <w:r>
        <w:rPr>
          <w:rFonts w:hint="eastAsia"/>
          <w:b/>
          <w:sz w:val="28"/>
        </w:rPr>
        <w:t xml:space="preserve">附图  </w:t>
      </w:r>
      <w:r>
        <w:rPr>
          <w:rFonts w:hint="eastAsia"/>
          <w:b/>
          <w:sz w:val="28"/>
          <w:lang w:val="en-US" w:eastAsia="zh-CN"/>
        </w:rPr>
        <w:t>秀</w:t>
      </w:r>
      <w:r>
        <w:rPr>
          <w:rFonts w:hint="eastAsia"/>
          <w:b/>
          <w:sz w:val="28"/>
        </w:rPr>
        <w:t>江道县河段管理范围线划定图册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665599"/>
    </w:sdtPr>
    <w:sdtContent>
      <w:p>
        <w:pPr>
          <w:pStyle w:val="16"/>
          <w:jc w:val="center"/>
        </w:pPr>
        <w:r>
          <w:fldChar w:fldCharType="begin"/>
        </w:r>
        <w:r>
          <w:instrText xml:space="preserve">PAGE   \* MERGEFORMAT</w:instrText>
        </w:r>
        <w:r>
          <w:fldChar w:fldCharType="separate"/>
        </w:r>
        <w:r>
          <w:rPr>
            <w:lang w:val="zh-CN"/>
          </w:rPr>
          <w:t>33</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AE2A1"/>
    <w:multiLevelType w:val="singleLevel"/>
    <w:tmpl w:val="917AE2A1"/>
    <w:lvl w:ilvl="0" w:tentative="0">
      <w:start w:val="1"/>
      <w:numFmt w:val="chineseCounting"/>
      <w:suff w:val="nothing"/>
      <w:lvlText w:val="（%1）"/>
      <w:lvlJc w:val="left"/>
      <w:rPr>
        <w:rFonts w:hint="eastAsia"/>
      </w:rPr>
    </w:lvl>
  </w:abstractNum>
  <w:abstractNum w:abstractNumId="1">
    <w:nsid w:val="B7980A84"/>
    <w:multiLevelType w:val="singleLevel"/>
    <w:tmpl w:val="B7980A84"/>
    <w:lvl w:ilvl="0" w:tentative="0">
      <w:start w:val="1"/>
      <w:numFmt w:val="decimal"/>
      <w:lvlText w:val="%1."/>
      <w:lvlJc w:val="left"/>
      <w:pPr>
        <w:tabs>
          <w:tab w:val="left" w:pos="312"/>
        </w:tabs>
      </w:pPr>
    </w:lvl>
  </w:abstractNum>
  <w:abstractNum w:abstractNumId="2">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0C0"/>
    <w:rsid w:val="000233C6"/>
    <w:rsid w:val="000253FF"/>
    <w:rsid w:val="00026179"/>
    <w:rsid w:val="00030CB1"/>
    <w:rsid w:val="000324E2"/>
    <w:rsid w:val="00034C70"/>
    <w:rsid w:val="000369C8"/>
    <w:rsid w:val="00037DFF"/>
    <w:rsid w:val="00040049"/>
    <w:rsid w:val="00040455"/>
    <w:rsid w:val="00043B5F"/>
    <w:rsid w:val="00046C27"/>
    <w:rsid w:val="000555D1"/>
    <w:rsid w:val="00060699"/>
    <w:rsid w:val="00062A98"/>
    <w:rsid w:val="0006574C"/>
    <w:rsid w:val="000667D1"/>
    <w:rsid w:val="00070A98"/>
    <w:rsid w:val="000732C1"/>
    <w:rsid w:val="00076461"/>
    <w:rsid w:val="000823D5"/>
    <w:rsid w:val="00087254"/>
    <w:rsid w:val="000A3E50"/>
    <w:rsid w:val="000B0F74"/>
    <w:rsid w:val="000B1D9F"/>
    <w:rsid w:val="000B6456"/>
    <w:rsid w:val="000B7B3B"/>
    <w:rsid w:val="000C076C"/>
    <w:rsid w:val="000C4C71"/>
    <w:rsid w:val="000C59D4"/>
    <w:rsid w:val="000D25BA"/>
    <w:rsid w:val="000D450F"/>
    <w:rsid w:val="000D5923"/>
    <w:rsid w:val="000E1747"/>
    <w:rsid w:val="000E1763"/>
    <w:rsid w:val="000E2720"/>
    <w:rsid w:val="000E3680"/>
    <w:rsid w:val="000E4BBE"/>
    <w:rsid w:val="000F0260"/>
    <w:rsid w:val="000F51FB"/>
    <w:rsid w:val="00101187"/>
    <w:rsid w:val="00101921"/>
    <w:rsid w:val="00103745"/>
    <w:rsid w:val="001112F7"/>
    <w:rsid w:val="00111F1A"/>
    <w:rsid w:val="00112781"/>
    <w:rsid w:val="001137DF"/>
    <w:rsid w:val="00114E7D"/>
    <w:rsid w:val="00115DD2"/>
    <w:rsid w:val="001219C5"/>
    <w:rsid w:val="00122842"/>
    <w:rsid w:val="00123ACA"/>
    <w:rsid w:val="00142E3A"/>
    <w:rsid w:val="00147BB2"/>
    <w:rsid w:val="00151996"/>
    <w:rsid w:val="0015501C"/>
    <w:rsid w:val="0015532D"/>
    <w:rsid w:val="0015557F"/>
    <w:rsid w:val="00156EBF"/>
    <w:rsid w:val="00157B30"/>
    <w:rsid w:val="00160F0E"/>
    <w:rsid w:val="00165E1E"/>
    <w:rsid w:val="00166188"/>
    <w:rsid w:val="00172A27"/>
    <w:rsid w:val="00176256"/>
    <w:rsid w:val="00177894"/>
    <w:rsid w:val="00180A26"/>
    <w:rsid w:val="00181B0B"/>
    <w:rsid w:val="001828F4"/>
    <w:rsid w:val="001856FF"/>
    <w:rsid w:val="00192E0F"/>
    <w:rsid w:val="00193C12"/>
    <w:rsid w:val="0019595C"/>
    <w:rsid w:val="0019688B"/>
    <w:rsid w:val="001A01D3"/>
    <w:rsid w:val="001A3F7B"/>
    <w:rsid w:val="001B0D97"/>
    <w:rsid w:val="001B1A28"/>
    <w:rsid w:val="001B41A2"/>
    <w:rsid w:val="001B60D2"/>
    <w:rsid w:val="001C0D00"/>
    <w:rsid w:val="001C6BA6"/>
    <w:rsid w:val="001D37F5"/>
    <w:rsid w:val="001D5313"/>
    <w:rsid w:val="001D7094"/>
    <w:rsid w:val="001E54C1"/>
    <w:rsid w:val="001E5770"/>
    <w:rsid w:val="001E68A7"/>
    <w:rsid w:val="001F06DD"/>
    <w:rsid w:val="001F2817"/>
    <w:rsid w:val="001F5597"/>
    <w:rsid w:val="001F641B"/>
    <w:rsid w:val="00200CA6"/>
    <w:rsid w:val="00200F59"/>
    <w:rsid w:val="002017A5"/>
    <w:rsid w:val="00204431"/>
    <w:rsid w:val="002045B5"/>
    <w:rsid w:val="00206984"/>
    <w:rsid w:val="00206F47"/>
    <w:rsid w:val="00207CD6"/>
    <w:rsid w:val="002107A1"/>
    <w:rsid w:val="002123F6"/>
    <w:rsid w:val="0021284E"/>
    <w:rsid w:val="00214446"/>
    <w:rsid w:val="0021551D"/>
    <w:rsid w:val="002240C5"/>
    <w:rsid w:val="00226A21"/>
    <w:rsid w:val="00227848"/>
    <w:rsid w:val="00227D4A"/>
    <w:rsid w:val="00230FB6"/>
    <w:rsid w:val="00231BDC"/>
    <w:rsid w:val="00240932"/>
    <w:rsid w:val="00240A6C"/>
    <w:rsid w:val="00241480"/>
    <w:rsid w:val="00242623"/>
    <w:rsid w:val="00245C1D"/>
    <w:rsid w:val="00245E22"/>
    <w:rsid w:val="00246760"/>
    <w:rsid w:val="002470D2"/>
    <w:rsid w:val="0025026D"/>
    <w:rsid w:val="00253505"/>
    <w:rsid w:val="00257A48"/>
    <w:rsid w:val="0026479A"/>
    <w:rsid w:val="00281C0A"/>
    <w:rsid w:val="00283604"/>
    <w:rsid w:val="00287D74"/>
    <w:rsid w:val="002923A4"/>
    <w:rsid w:val="002923C8"/>
    <w:rsid w:val="0029621A"/>
    <w:rsid w:val="002A054B"/>
    <w:rsid w:val="002A070D"/>
    <w:rsid w:val="002A5DF2"/>
    <w:rsid w:val="002A7603"/>
    <w:rsid w:val="002B0011"/>
    <w:rsid w:val="002B20C1"/>
    <w:rsid w:val="002B2660"/>
    <w:rsid w:val="002B26FC"/>
    <w:rsid w:val="002B2EA0"/>
    <w:rsid w:val="002B6BF2"/>
    <w:rsid w:val="002B7C09"/>
    <w:rsid w:val="002C1365"/>
    <w:rsid w:val="002C49EE"/>
    <w:rsid w:val="002C5202"/>
    <w:rsid w:val="002C7CDB"/>
    <w:rsid w:val="002D10B1"/>
    <w:rsid w:val="002D1190"/>
    <w:rsid w:val="002D2105"/>
    <w:rsid w:val="002D26E0"/>
    <w:rsid w:val="002D2BD3"/>
    <w:rsid w:val="002D48CB"/>
    <w:rsid w:val="002D54E7"/>
    <w:rsid w:val="002D6285"/>
    <w:rsid w:val="002E5DF2"/>
    <w:rsid w:val="002E7467"/>
    <w:rsid w:val="002E7D2B"/>
    <w:rsid w:val="002F55D6"/>
    <w:rsid w:val="002F5D6D"/>
    <w:rsid w:val="002F635B"/>
    <w:rsid w:val="002F685B"/>
    <w:rsid w:val="00300A0A"/>
    <w:rsid w:val="00302136"/>
    <w:rsid w:val="003068EE"/>
    <w:rsid w:val="003110B9"/>
    <w:rsid w:val="0031190C"/>
    <w:rsid w:val="0031386A"/>
    <w:rsid w:val="00315C91"/>
    <w:rsid w:val="003237F7"/>
    <w:rsid w:val="00332B85"/>
    <w:rsid w:val="00336490"/>
    <w:rsid w:val="00336C38"/>
    <w:rsid w:val="0033778B"/>
    <w:rsid w:val="00343C1B"/>
    <w:rsid w:val="003441E9"/>
    <w:rsid w:val="00346375"/>
    <w:rsid w:val="0034656E"/>
    <w:rsid w:val="0034737F"/>
    <w:rsid w:val="00350A8F"/>
    <w:rsid w:val="00355E85"/>
    <w:rsid w:val="0035742E"/>
    <w:rsid w:val="003631D0"/>
    <w:rsid w:val="00364E29"/>
    <w:rsid w:val="00371517"/>
    <w:rsid w:val="00372FC3"/>
    <w:rsid w:val="003847AD"/>
    <w:rsid w:val="003859FF"/>
    <w:rsid w:val="003911AD"/>
    <w:rsid w:val="00393D38"/>
    <w:rsid w:val="00396C2F"/>
    <w:rsid w:val="003A1147"/>
    <w:rsid w:val="003A17A5"/>
    <w:rsid w:val="003A3BAD"/>
    <w:rsid w:val="003A3EB3"/>
    <w:rsid w:val="003A6AAA"/>
    <w:rsid w:val="003B1100"/>
    <w:rsid w:val="003B2939"/>
    <w:rsid w:val="003C3073"/>
    <w:rsid w:val="003C4703"/>
    <w:rsid w:val="003C7E77"/>
    <w:rsid w:val="003D1B0B"/>
    <w:rsid w:val="003D1FD7"/>
    <w:rsid w:val="003D28E6"/>
    <w:rsid w:val="003D3FE6"/>
    <w:rsid w:val="003D4DCD"/>
    <w:rsid w:val="003D7053"/>
    <w:rsid w:val="003E2761"/>
    <w:rsid w:val="003E5688"/>
    <w:rsid w:val="003E6577"/>
    <w:rsid w:val="003E6D28"/>
    <w:rsid w:val="003F05C0"/>
    <w:rsid w:val="003F3EF9"/>
    <w:rsid w:val="003F5F11"/>
    <w:rsid w:val="0040091C"/>
    <w:rsid w:val="00400AA9"/>
    <w:rsid w:val="004038F9"/>
    <w:rsid w:val="0041245F"/>
    <w:rsid w:val="004133B6"/>
    <w:rsid w:val="00415C33"/>
    <w:rsid w:val="00415D1D"/>
    <w:rsid w:val="00421D5D"/>
    <w:rsid w:val="00421F9F"/>
    <w:rsid w:val="00423D0F"/>
    <w:rsid w:val="00425EC6"/>
    <w:rsid w:val="00433C7C"/>
    <w:rsid w:val="00437C7D"/>
    <w:rsid w:val="00443758"/>
    <w:rsid w:val="004441F3"/>
    <w:rsid w:val="004500FD"/>
    <w:rsid w:val="00450764"/>
    <w:rsid w:val="00454408"/>
    <w:rsid w:val="0045607E"/>
    <w:rsid w:val="004607A5"/>
    <w:rsid w:val="00460DF3"/>
    <w:rsid w:val="00461D14"/>
    <w:rsid w:val="00475E2F"/>
    <w:rsid w:val="00476400"/>
    <w:rsid w:val="00480CF9"/>
    <w:rsid w:val="0048470E"/>
    <w:rsid w:val="0049219A"/>
    <w:rsid w:val="00493CDE"/>
    <w:rsid w:val="004A178A"/>
    <w:rsid w:val="004A6341"/>
    <w:rsid w:val="004A706E"/>
    <w:rsid w:val="004B1F38"/>
    <w:rsid w:val="004B30B6"/>
    <w:rsid w:val="004C04FF"/>
    <w:rsid w:val="004C24F8"/>
    <w:rsid w:val="004C3C39"/>
    <w:rsid w:val="004C7630"/>
    <w:rsid w:val="004D323B"/>
    <w:rsid w:val="004D3F29"/>
    <w:rsid w:val="004D50F7"/>
    <w:rsid w:val="004D5B7E"/>
    <w:rsid w:val="004D7C97"/>
    <w:rsid w:val="004E0CF9"/>
    <w:rsid w:val="004F28AB"/>
    <w:rsid w:val="005033A0"/>
    <w:rsid w:val="005047EC"/>
    <w:rsid w:val="00505212"/>
    <w:rsid w:val="00505E47"/>
    <w:rsid w:val="00511F61"/>
    <w:rsid w:val="00514F9C"/>
    <w:rsid w:val="00515845"/>
    <w:rsid w:val="00517BC2"/>
    <w:rsid w:val="0052242B"/>
    <w:rsid w:val="00526C08"/>
    <w:rsid w:val="005316BC"/>
    <w:rsid w:val="00531CD4"/>
    <w:rsid w:val="00533744"/>
    <w:rsid w:val="00542DEB"/>
    <w:rsid w:val="00546250"/>
    <w:rsid w:val="00551C7F"/>
    <w:rsid w:val="005524E4"/>
    <w:rsid w:val="00553FBD"/>
    <w:rsid w:val="00562100"/>
    <w:rsid w:val="00563C75"/>
    <w:rsid w:val="00564C2E"/>
    <w:rsid w:val="00570131"/>
    <w:rsid w:val="005732E0"/>
    <w:rsid w:val="005748FF"/>
    <w:rsid w:val="005755E3"/>
    <w:rsid w:val="0057645B"/>
    <w:rsid w:val="005767F0"/>
    <w:rsid w:val="0058295B"/>
    <w:rsid w:val="0058380E"/>
    <w:rsid w:val="00584A7F"/>
    <w:rsid w:val="00585642"/>
    <w:rsid w:val="00593234"/>
    <w:rsid w:val="005936DD"/>
    <w:rsid w:val="00593BBB"/>
    <w:rsid w:val="005A03E4"/>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7FC9"/>
    <w:rsid w:val="005F04BE"/>
    <w:rsid w:val="005F0EA9"/>
    <w:rsid w:val="005F2A83"/>
    <w:rsid w:val="005F3266"/>
    <w:rsid w:val="005F3DD4"/>
    <w:rsid w:val="005F42F0"/>
    <w:rsid w:val="005F4EBD"/>
    <w:rsid w:val="005F6C5A"/>
    <w:rsid w:val="006034C8"/>
    <w:rsid w:val="006075AB"/>
    <w:rsid w:val="006076FE"/>
    <w:rsid w:val="00610FF3"/>
    <w:rsid w:val="00611A94"/>
    <w:rsid w:val="00616E02"/>
    <w:rsid w:val="00621A6F"/>
    <w:rsid w:val="0062332C"/>
    <w:rsid w:val="00623426"/>
    <w:rsid w:val="00625128"/>
    <w:rsid w:val="00633CAF"/>
    <w:rsid w:val="006344E1"/>
    <w:rsid w:val="006373D8"/>
    <w:rsid w:val="00637A45"/>
    <w:rsid w:val="00640051"/>
    <w:rsid w:val="00642D45"/>
    <w:rsid w:val="00650589"/>
    <w:rsid w:val="00662FB3"/>
    <w:rsid w:val="00664E3A"/>
    <w:rsid w:val="0066564B"/>
    <w:rsid w:val="00667A5E"/>
    <w:rsid w:val="0067161E"/>
    <w:rsid w:val="00674968"/>
    <w:rsid w:val="00686890"/>
    <w:rsid w:val="00692554"/>
    <w:rsid w:val="00693833"/>
    <w:rsid w:val="00693990"/>
    <w:rsid w:val="00694AAF"/>
    <w:rsid w:val="00695E5D"/>
    <w:rsid w:val="00697327"/>
    <w:rsid w:val="006A138E"/>
    <w:rsid w:val="006A1580"/>
    <w:rsid w:val="006A740B"/>
    <w:rsid w:val="006B23C4"/>
    <w:rsid w:val="006B5667"/>
    <w:rsid w:val="006C41CD"/>
    <w:rsid w:val="006D2E0D"/>
    <w:rsid w:val="006D30A0"/>
    <w:rsid w:val="006D4404"/>
    <w:rsid w:val="006D475A"/>
    <w:rsid w:val="006D5609"/>
    <w:rsid w:val="006D7E08"/>
    <w:rsid w:val="006E41D4"/>
    <w:rsid w:val="006E5FB0"/>
    <w:rsid w:val="006E6F3F"/>
    <w:rsid w:val="006F1E97"/>
    <w:rsid w:val="006F22F4"/>
    <w:rsid w:val="006F3831"/>
    <w:rsid w:val="006F3856"/>
    <w:rsid w:val="006F59AE"/>
    <w:rsid w:val="0070026C"/>
    <w:rsid w:val="00704066"/>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664D"/>
    <w:rsid w:val="00770C7B"/>
    <w:rsid w:val="00771628"/>
    <w:rsid w:val="0077334E"/>
    <w:rsid w:val="00774FB8"/>
    <w:rsid w:val="00775C09"/>
    <w:rsid w:val="007867E3"/>
    <w:rsid w:val="007951AC"/>
    <w:rsid w:val="007967E8"/>
    <w:rsid w:val="007A1AEC"/>
    <w:rsid w:val="007A355F"/>
    <w:rsid w:val="007A4590"/>
    <w:rsid w:val="007B1DF1"/>
    <w:rsid w:val="007B2355"/>
    <w:rsid w:val="007B383A"/>
    <w:rsid w:val="007B7600"/>
    <w:rsid w:val="007C1A1F"/>
    <w:rsid w:val="007C4603"/>
    <w:rsid w:val="007C7900"/>
    <w:rsid w:val="007D61FF"/>
    <w:rsid w:val="007E090F"/>
    <w:rsid w:val="007E0A1D"/>
    <w:rsid w:val="007E5534"/>
    <w:rsid w:val="007E5C08"/>
    <w:rsid w:val="007E65D6"/>
    <w:rsid w:val="007E708F"/>
    <w:rsid w:val="007F0F3A"/>
    <w:rsid w:val="007F783F"/>
    <w:rsid w:val="007F7ACA"/>
    <w:rsid w:val="0080270E"/>
    <w:rsid w:val="00805845"/>
    <w:rsid w:val="008100C6"/>
    <w:rsid w:val="0081610F"/>
    <w:rsid w:val="00820D13"/>
    <w:rsid w:val="008235D8"/>
    <w:rsid w:val="00827516"/>
    <w:rsid w:val="00830BF8"/>
    <w:rsid w:val="00830BFD"/>
    <w:rsid w:val="00832134"/>
    <w:rsid w:val="008336CC"/>
    <w:rsid w:val="00833BF0"/>
    <w:rsid w:val="008371E6"/>
    <w:rsid w:val="00840434"/>
    <w:rsid w:val="00841071"/>
    <w:rsid w:val="00845644"/>
    <w:rsid w:val="00845A39"/>
    <w:rsid w:val="00850144"/>
    <w:rsid w:val="0085186E"/>
    <w:rsid w:val="00852ADC"/>
    <w:rsid w:val="00854618"/>
    <w:rsid w:val="008552F1"/>
    <w:rsid w:val="00860500"/>
    <w:rsid w:val="0086128D"/>
    <w:rsid w:val="00861DD2"/>
    <w:rsid w:val="00863A67"/>
    <w:rsid w:val="00864341"/>
    <w:rsid w:val="0086588A"/>
    <w:rsid w:val="00873257"/>
    <w:rsid w:val="00873746"/>
    <w:rsid w:val="00881A7B"/>
    <w:rsid w:val="008947C1"/>
    <w:rsid w:val="00895439"/>
    <w:rsid w:val="00895545"/>
    <w:rsid w:val="008A3CFD"/>
    <w:rsid w:val="008A54B7"/>
    <w:rsid w:val="008A6581"/>
    <w:rsid w:val="008B1E82"/>
    <w:rsid w:val="008B2870"/>
    <w:rsid w:val="008B5B00"/>
    <w:rsid w:val="008C18B1"/>
    <w:rsid w:val="008C3919"/>
    <w:rsid w:val="008D3E02"/>
    <w:rsid w:val="008D6B7F"/>
    <w:rsid w:val="008D6D6D"/>
    <w:rsid w:val="008E0E68"/>
    <w:rsid w:val="008E15E4"/>
    <w:rsid w:val="008E1E56"/>
    <w:rsid w:val="008E2F08"/>
    <w:rsid w:val="008E5811"/>
    <w:rsid w:val="008E5DC6"/>
    <w:rsid w:val="008E7701"/>
    <w:rsid w:val="0090132C"/>
    <w:rsid w:val="00906250"/>
    <w:rsid w:val="00910192"/>
    <w:rsid w:val="00911CAD"/>
    <w:rsid w:val="00913045"/>
    <w:rsid w:val="00916981"/>
    <w:rsid w:val="00917188"/>
    <w:rsid w:val="009206CD"/>
    <w:rsid w:val="00921C71"/>
    <w:rsid w:val="0092231A"/>
    <w:rsid w:val="0094153F"/>
    <w:rsid w:val="00942FA4"/>
    <w:rsid w:val="0094684E"/>
    <w:rsid w:val="00946A48"/>
    <w:rsid w:val="00950D1D"/>
    <w:rsid w:val="009523D3"/>
    <w:rsid w:val="00953781"/>
    <w:rsid w:val="00962614"/>
    <w:rsid w:val="00971FD1"/>
    <w:rsid w:val="00972088"/>
    <w:rsid w:val="00975CC3"/>
    <w:rsid w:val="009767BB"/>
    <w:rsid w:val="00976D12"/>
    <w:rsid w:val="00977700"/>
    <w:rsid w:val="00977A34"/>
    <w:rsid w:val="00982B48"/>
    <w:rsid w:val="009911E1"/>
    <w:rsid w:val="00993519"/>
    <w:rsid w:val="009973AC"/>
    <w:rsid w:val="009A02FD"/>
    <w:rsid w:val="009A251A"/>
    <w:rsid w:val="009A27B0"/>
    <w:rsid w:val="009A4A19"/>
    <w:rsid w:val="009D4D6A"/>
    <w:rsid w:val="009D4F82"/>
    <w:rsid w:val="009D6AF0"/>
    <w:rsid w:val="009E18C9"/>
    <w:rsid w:val="009E1EC3"/>
    <w:rsid w:val="009E377C"/>
    <w:rsid w:val="009E606A"/>
    <w:rsid w:val="009E6FA5"/>
    <w:rsid w:val="009F27DD"/>
    <w:rsid w:val="009F3802"/>
    <w:rsid w:val="009F4C13"/>
    <w:rsid w:val="009F7FA5"/>
    <w:rsid w:val="00A00042"/>
    <w:rsid w:val="00A014E3"/>
    <w:rsid w:val="00A0524D"/>
    <w:rsid w:val="00A07430"/>
    <w:rsid w:val="00A1201B"/>
    <w:rsid w:val="00A13955"/>
    <w:rsid w:val="00A16FC5"/>
    <w:rsid w:val="00A26A44"/>
    <w:rsid w:val="00A306BB"/>
    <w:rsid w:val="00A30DB1"/>
    <w:rsid w:val="00A33982"/>
    <w:rsid w:val="00A33F3C"/>
    <w:rsid w:val="00A3668D"/>
    <w:rsid w:val="00A446AF"/>
    <w:rsid w:val="00A50F24"/>
    <w:rsid w:val="00A53268"/>
    <w:rsid w:val="00A53678"/>
    <w:rsid w:val="00A53AE0"/>
    <w:rsid w:val="00A56C60"/>
    <w:rsid w:val="00A57600"/>
    <w:rsid w:val="00A6256E"/>
    <w:rsid w:val="00A6792F"/>
    <w:rsid w:val="00A73645"/>
    <w:rsid w:val="00A758F3"/>
    <w:rsid w:val="00A7598E"/>
    <w:rsid w:val="00A820B7"/>
    <w:rsid w:val="00A826D1"/>
    <w:rsid w:val="00A82D1A"/>
    <w:rsid w:val="00A84A92"/>
    <w:rsid w:val="00A9363E"/>
    <w:rsid w:val="00A959EE"/>
    <w:rsid w:val="00AA0FB1"/>
    <w:rsid w:val="00AA23C5"/>
    <w:rsid w:val="00AA5A6F"/>
    <w:rsid w:val="00AA7EFC"/>
    <w:rsid w:val="00AB08C6"/>
    <w:rsid w:val="00AB0FD5"/>
    <w:rsid w:val="00AB111B"/>
    <w:rsid w:val="00AB25CA"/>
    <w:rsid w:val="00AB324C"/>
    <w:rsid w:val="00AB542D"/>
    <w:rsid w:val="00AC0868"/>
    <w:rsid w:val="00AC1BF7"/>
    <w:rsid w:val="00AC2074"/>
    <w:rsid w:val="00AC26EE"/>
    <w:rsid w:val="00AC39F7"/>
    <w:rsid w:val="00AC4B50"/>
    <w:rsid w:val="00AD06E6"/>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51E57"/>
    <w:rsid w:val="00B53951"/>
    <w:rsid w:val="00B53976"/>
    <w:rsid w:val="00B55D6E"/>
    <w:rsid w:val="00B65B1D"/>
    <w:rsid w:val="00B7250C"/>
    <w:rsid w:val="00B7324D"/>
    <w:rsid w:val="00B77EC3"/>
    <w:rsid w:val="00B82550"/>
    <w:rsid w:val="00B827E6"/>
    <w:rsid w:val="00B82988"/>
    <w:rsid w:val="00B8419A"/>
    <w:rsid w:val="00B8687B"/>
    <w:rsid w:val="00B86A36"/>
    <w:rsid w:val="00B94EFC"/>
    <w:rsid w:val="00B951FC"/>
    <w:rsid w:val="00B97614"/>
    <w:rsid w:val="00BA2A96"/>
    <w:rsid w:val="00BA45E2"/>
    <w:rsid w:val="00BA484C"/>
    <w:rsid w:val="00BB1DB6"/>
    <w:rsid w:val="00BB4363"/>
    <w:rsid w:val="00BB6510"/>
    <w:rsid w:val="00BC1E3E"/>
    <w:rsid w:val="00BC308F"/>
    <w:rsid w:val="00BC3509"/>
    <w:rsid w:val="00BC3F04"/>
    <w:rsid w:val="00BC6598"/>
    <w:rsid w:val="00BC6951"/>
    <w:rsid w:val="00BC7876"/>
    <w:rsid w:val="00BD035C"/>
    <w:rsid w:val="00BD39B9"/>
    <w:rsid w:val="00BD49B1"/>
    <w:rsid w:val="00BD4E75"/>
    <w:rsid w:val="00BD72C3"/>
    <w:rsid w:val="00BE0A0D"/>
    <w:rsid w:val="00BE15A7"/>
    <w:rsid w:val="00BE186B"/>
    <w:rsid w:val="00BE18D0"/>
    <w:rsid w:val="00BE3DEB"/>
    <w:rsid w:val="00BE4FA0"/>
    <w:rsid w:val="00BE7D52"/>
    <w:rsid w:val="00BE7F9F"/>
    <w:rsid w:val="00BF58B7"/>
    <w:rsid w:val="00BF5C81"/>
    <w:rsid w:val="00C0668E"/>
    <w:rsid w:val="00C074A5"/>
    <w:rsid w:val="00C10402"/>
    <w:rsid w:val="00C109EB"/>
    <w:rsid w:val="00C147A5"/>
    <w:rsid w:val="00C162E8"/>
    <w:rsid w:val="00C17B7E"/>
    <w:rsid w:val="00C27D14"/>
    <w:rsid w:val="00C329B1"/>
    <w:rsid w:val="00C36297"/>
    <w:rsid w:val="00C40EE3"/>
    <w:rsid w:val="00C43286"/>
    <w:rsid w:val="00C447C6"/>
    <w:rsid w:val="00C45D8B"/>
    <w:rsid w:val="00C472B9"/>
    <w:rsid w:val="00C50065"/>
    <w:rsid w:val="00C5132B"/>
    <w:rsid w:val="00C524AA"/>
    <w:rsid w:val="00C531D0"/>
    <w:rsid w:val="00C54263"/>
    <w:rsid w:val="00C569C6"/>
    <w:rsid w:val="00C56D69"/>
    <w:rsid w:val="00C63E7A"/>
    <w:rsid w:val="00C67C28"/>
    <w:rsid w:val="00C736ED"/>
    <w:rsid w:val="00C76D18"/>
    <w:rsid w:val="00C82E97"/>
    <w:rsid w:val="00C849C5"/>
    <w:rsid w:val="00C87AEE"/>
    <w:rsid w:val="00C91454"/>
    <w:rsid w:val="00C9546F"/>
    <w:rsid w:val="00C965C2"/>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2341"/>
    <w:rsid w:val="00CD70F7"/>
    <w:rsid w:val="00CE1360"/>
    <w:rsid w:val="00CE2AA2"/>
    <w:rsid w:val="00CE3F8C"/>
    <w:rsid w:val="00CE46FF"/>
    <w:rsid w:val="00CF3D28"/>
    <w:rsid w:val="00CF558A"/>
    <w:rsid w:val="00CF7147"/>
    <w:rsid w:val="00D10C18"/>
    <w:rsid w:val="00D11BE6"/>
    <w:rsid w:val="00D1412F"/>
    <w:rsid w:val="00D16F6F"/>
    <w:rsid w:val="00D20D37"/>
    <w:rsid w:val="00D2195E"/>
    <w:rsid w:val="00D21C1B"/>
    <w:rsid w:val="00D2323D"/>
    <w:rsid w:val="00D25BB5"/>
    <w:rsid w:val="00D26235"/>
    <w:rsid w:val="00D2792A"/>
    <w:rsid w:val="00D27DDC"/>
    <w:rsid w:val="00D3569F"/>
    <w:rsid w:val="00D4448C"/>
    <w:rsid w:val="00D45B23"/>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6398"/>
    <w:rsid w:val="00D87775"/>
    <w:rsid w:val="00D902F6"/>
    <w:rsid w:val="00D93027"/>
    <w:rsid w:val="00D95A84"/>
    <w:rsid w:val="00D96E6B"/>
    <w:rsid w:val="00DA054A"/>
    <w:rsid w:val="00DA2003"/>
    <w:rsid w:val="00DB0130"/>
    <w:rsid w:val="00DB59EE"/>
    <w:rsid w:val="00DC00C6"/>
    <w:rsid w:val="00DC1F2A"/>
    <w:rsid w:val="00DC3AEC"/>
    <w:rsid w:val="00DC5CEC"/>
    <w:rsid w:val="00DC7356"/>
    <w:rsid w:val="00DD3E3B"/>
    <w:rsid w:val="00DD7F45"/>
    <w:rsid w:val="00DE0E0F"/>
    <w:rsid w:val="00DE13A0"/>
    <w:rsid w:val="00DE4E9A"/>
    <w:rsid w:val="00DE796F"/>
    <w:rsid w:val="00DF1A00"/>
    <w:rsid w:val="00DF1AE8"/>
    <w:rsid w:val="00DF35FE"/>
    <w:rsid w:val="00DF5EE3"/>
    <w:rsid w:val="00E044BE"/>
    <w:rsid w:val="00E061CA"/>
    <w:rsid w:val="00E073B6"/>
    <w:rsid w:val="00E10DF0"/>
    <w:rsid w:val="00E111AD"/>
    <w:rsid w:val="00E119BB"/>
    <w:rsid w:val="00E12CCA"/>
    <w:rsid w:val="00E13E68"/>
    <w:rsid w:val="00E17E75"/>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3984"/>
    <w:rsid w:val="00E81752"/>
    <w:rsid w:val="00E844C3"/>
    <w:rsid w:val="00E85B3F"/>
    <w:rsid w:val="00E905B9"/>
    <w:rsid w:val="00E9107B"/>
    <w:rsid w:val="00E97C0A"/>
    <w:rsid w:val="00EA0AC7"/>
    <w:rsid w:val="00EA2475"/>
    <w:rsid w:val="00EA2A59"/>
    <w:rsid w:val="00EA5961"/>
    <w:rsid w:val="00EA615E"/>
    <w:rsid w:val="00EB46EF"/>
    <w:rsid w:val="00EB6946"/>
    <w:rsid w:val="00EB7A06"/>
    <w:rsid w:val="00EC0616"/>
    <w:rsid w:val="00EC1A1E"/>
    <w:rsid w:val="00EC2786"/>
    <w:rsid w:val="00ED181B"/>
    <w:rsid w:val="00ED3E69"/>
    <w:rsid w:val="00ED52C4"/>
    <w:rsid w:val="00EE05E5"/>
    <w:rsid w:val="00EE6B63"/>
    <w:rsid w:val="00EF30EC"/>
    <w:rsid w:val="00F00503"/>
    <w:rsid w:val="00F01D7E"/>
    <w:rsid w:val="00F01F23"/>
    <w:rsid w:val="00F03DC1"/>
    <w:rsid w:val="00F058B2"/>
    <w:rsid w:val="00F129E3"/>
    <w:rsid w:val="00F13632"/>
    <w:rsid w:val="00F13CA6"/>
    <w:rsid w:val="00F1528C"/>
    <w:rsid w:val="00F16114"/>
    <w:rsid w:val="00F20234"/>
    <w:rsid w:val="00F23562"/>
    <w:rsid w:val="00F30623"/>
    <w:rsid w:val="00F3357F"/>
    <w:rsid w:val="00F35F4F"/>
    <w:rsid w:val="00F366FA"/>
    <w:rsid w:val="00F40B16"/>
    <w:rsid w:val="00F41D53"/>
    <w:rsid w:val="00F43287"/>
    <w:rsid w:val="00F562BD"/>
    <w:rsid w:val="00F57C18"/>
    <w:rsid w:val="00F60B8F"/>
    <w:rsid w:val="00F6284C"/>
    <w:rsid w:val="00F66243"/>
    <w:rsid w:val="00F672BC"/>
    <w:rsid w:val="00F67802"/>
    <w:rsid w:val="00F713B3"/>
    <w:rsid w:val="00F713F7"/>
    <w:rsid w:val="00F811D9"/>
    <w:rsid w:val="00F81659"/>
    <w:rsid w:val="00F846BA"/>
    <w:rsid w:val="00F84ABE"/>
    <w:rsid w:val="00F854AF"/>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C3578"/>
    <w:rsid w:val="00FD4537"/>
    <w:rsid w:val="00FD63D3"/>
    <w:rsid w:val="00FD6628"/>
    <w:rsid w:val="00FD7003"/>
    <w:rsid w:val="00FD7C4C"/>
    <w:rsid w:val="00FE0AA0"/>
    <w:rsid w:val="00FE46C8"/>
    <w:rsid w:val="00FF1913"/>
    <w:rsid w:val="00FF26B7"/>
    <w:rsid w:val="00FF555A"/>
    <w:rsid w:val="00FF6CC5"/>
    <w:rsid w:val="00FF75EF"/>
    <w:rsid w:val="013A51EC"/>
    <w:rsid w:val="015A05C2"/>
    <w:rsid w:val="01D07797"/>
    <w:rsid w:val="01EA496E"/>
    <w:rsid w:val="01F94862"/>
    <w:rsid w:val="022D6F4E"/>
    <w:rsid w:val="023D4FC6"/>
    <w:rsid w:val="02A21098"/>
    <w:rsid w:val="02FD70B0"/>
    <w:rsid w:val="031E2EA5"/>
    <w:rsid w:val="03AD5B30"/>
    <w:rsid w:val="03E36C06"/>
    <w:rsid w:val="042E14DD"/>
    <w:rsid w:val="043126CC"/>
    <w:rsid w:val="048612B1"/>
    <w:rsid w:val="04A5088F"/>
    <w:rsid w:val="054712EA"/>
    <w:rsid w:val="0553013B"/>
    <w:rsid w:val="05754BFC"/>
    <w:rsid w:val="058249FA"/>
    <w:rsid w:val="058E4E69"/>
    <w:rsid w:val="060942A8"/>
    <w:rsid w:val="061119F6"/>
    <w:rsid w:val="063E2C3A"/>
    <w:rsid w:val="06D03F17"/>
    <w:rsid w:val="07566224"/>
    <w:rsid w:val="0806321D"/>
    <w:rsid w:val="085029E0"/>
    <w:rsid w:val="08A75A11"/>
    <w:rsid w:val="08E51E87"/>
    <w:rsid w:val="092E2D6D"/>
    <w:rsid w:val="094F5300"/>
    <w:rsid w:val="097F4639"/>
    <w:rsid w:val="09824D5F"/>
    <w:rsid w:val="09D950B7"/>
    <w:rsid w:val="0A0760F1"/>
    <w:rsid w:val="0A294A51"/>
    <w:rsid w:val="0A31703C"/>
    <w:rsid w:val="0A916948"/>
    <w:rsid w:val="0AAD1AA6"/>
    <w:rsid w:val="0AB12291"/>
    <w:rsid w:val="0ACF7675"/>
    <w:rsid w:val="0B0E1246"/>
    <w:rsid w:val="0B130EF9"/>
    <w:rsid w:val="0B343DD6"/>
    <w:rsid w:val="0B514954"/>
    <w:rsid w:val="0B8B53C9"/>
    <w:rsid w:val="0B945712"/>
    <w:rsid w:val="0B9D588C"/>
    <w:rsid w:val="0BD6683B"/>
    <w:rsid w:val="0C634332"/>
    <w:rsid w:val="0C71425A"/>
    <w:rsid w:val="0C8F1102"/>
    <w:rsid w:val="0D185DB1"/>
    <w:rsid w:val="0D6A3ED1"/>
    <w:rsid w:val="0E2408AD"/>
    <w:rsid w:val="0E2514A4"/>
    <w:rsid w:val="0E5C5566"/>
    <w:rsid w:val="0E9B3B4A"/>
    <w:rsid w:val="0ED7147B"/>
    <w:rsid w:val="0EF151A0"/>
    <w:rsid w:val="0F49570F"/>
    <w:rsid w:val="0FAE3E62"/>
    <w:rsid w:val="0FB22C6A"/>
    <w:rsid w:val="10450572"/>
    <w:rsid w:val="104E257E"/>
    <w:rsid w:val="108839E8"/>
    <w:rsid w:val="1098413E"/>
    <w:rsid w:val="11C96927"/>
    <w:rsid w:val="11E7301E"/>
    <w:rsid w:val="121E4DA1"/>
    <w:rsid w:val="12513BB0"/>
    <w:rsid w:val="12836F9A"/>
    <w:rsid w:val="12917E1B"/>
    <w:rsid w:val="130739D2"/>
    <w:rsid w:val="130E2996"/>
    <w:rsid w:val="135F4834"/>
    <w:rsid w:val="13740FF0"/>
    <w:rsid w:val="138A08E5"/>
    <w:rsid w:val="13D014E0"/>
    <w:rsid w:val="140B75FE"/>
    <w:rsid w:val="14195C55"/>
    <w:rsid w:val="144F37D0"/>
    <w:rsid w:val="14CA7993"/>
    <w:rsid w:val="14D253C7"/>
    <w:rsid w:val="157B226C"/>
    <w:rsid w:val="160C46A1"/>
    <w:rsid w:val="163A57AF"/>
    <w:rsid w:val="164A1CE1"/>
    <w:rsid w:val="168870C0"/>
    <w:rsid w:val="16A4302D"/>
    <w:rsid w:val="16D324D0"/>
    <w:rsid w:val="16F636C6"/>
    <w:rsid w:val="170728DB"/>
    <w:rsid w:val="17126BFD"/>
    <w:rsid w:val="178C51FB"/>
    <w:rsid w:val="17911C9F"/>
    <w:rsid w:val="17D6247D"/>
    <w:rsid w:val="18B461A3"/>
    <w:rsid w:val="18EC2AAE"/>
    <w:rsid w:val="19380578"/>
    <w:rsid w:val="19816F4E"/>
    <w:rsid w:val="19823C22"/>
    <w:rsid w:val="19993748"/>
    <w:rsid w:val="19A144EA"/>
    <w:rsid w:val="19E35A6A"/>
    <w:rsid w:val="19ED7F9D"/>
    <w:rsid w:val="1A3011C6"/>
    <w:rsid w:val="1AB73675"/>
    <w:rsid w:val="1AF06D12"/>
    <w:rsid w:val="1B153046"/>
    <w:rsid w:val="1B34182D"/>
    <w:rsid w:val="1B464BD3"/>
    <w:rsid w:val="1B9C5D7C"/>
    <w:rsid w:val="1BD7646F"/>
    <w:rsid w:val="1BE82FB0"/>
    <w:rsid w:val="1C4B3BA1"/>
    <w:rsid w:val="1C4F2605"/>
    <w:rsid w:val="1C573984"/>
    <w:rsid w:val="1C795F4C"/>
    <w:rsid w:val="1CAB1C91"/>
    <w:rsid w:val="1CD1591D"/>
    <w:rsid w:val="1CDB21A5"/>
    <w:rsid w:val="1DCC6A5C"/>
    <w:rsid w:val="1E153C6C"/>
    <w:rsid w:val="1E53293D"/>
    <w:rsid w:val="1E6D542D"/>
    <w:rsid w:val="1E836CEC"/>
    <w:rsid w:val="1EBA4C32"/>
    <w:rsid w:val="1F377180"/>
    <w:rsid w:val="1F885C86"/>
    <w:rsid w:val="20061334"/>
    <w:rsid w:val="204B73E9"/>
    <w:rsid w:val="2062309F"/>
    <w:rsid w:val="2076082B"/>
    <w:rsid w:val="20881070"/>
    <w:rsid w:val="20932AC8"/>
    <w:rsid w:val="20BF2E4B"/>
    <w:rsid w:val="20C019F5"/>
    <w:rsid w:val="20C55850"/>
    <w:rsid w:val="20D163A2"/>
    <w:rsid w:val="211D03E1"/>
    <w:rsid w:val="21A21E43"/>
    <w:rsid w:val="21AD085A"/>
    <w:rsid w:val="21F86566"/>
    <w:rsid w:val="220E6B7F"/>
    <w:rsid w:val="226C77C4"/>
    <w:rsid w:val="2282298C"/>
    <w:rsid w:val="22AE4970"/>
    <w:rsid w:val="22EE0048"/>
    <w:rsid w:val="230939E8"/>
    <w:rsid w:val="235F683B"/>
    <w:rsid w:val="23B82061"/>
    <w:rsid w:val="23C86E83"/>
    <w:rsid w:val="23FC1937"/>
    <w:rsid w:val="242511D0"/>
    <w:rsid w:val="243976BC"/>
    <w:rsid w:val="24841850"/>
    <w:rsid w:val="248A5FC6"/>
    <w:rsid w:val="24FE7492"/>
    <w:rsid w:val="25171007"/>
    <w:rsid w:val="253367B6"/>
    <w:rsid w:val="253E0CC6"/>
    <w:rsid w:val="259B12B5"/>
    <w:rsid w:val="262F738E"/>
    <w:rsid w:val="26556CE6"/>
    <w:rsid w:val="265834D5"/>
    <w:rsid w:val="265B15C3"/>
    <w:rsid w:val="2663401A"/>
    <w:rsid w:val="26944E11"/>
    <w:rsid w:val="269B45FA"/>
    <w:rsid w:val="269D7E6D"/>
    <w:rsid w:val="26D70EA6"/>
    <w:rsid w:val="2782715D"/>
    <w:rsid w:val="27B86FA3"/>
    <w:rsid w:val="27DF4024"/>
    <w:rsid w:val="28122A5E"/>
    <w:rsid w:val="285965DD"/>
    <w:rsid w:val="2875754E"/>
    <w:rsid w:val="289523DC"/>
    <w:rsid w:val="28F43745"/>
    <w:rsid w:val="292B02A9"/>
    <w:rsid w:val="299920A3"/>
    <w:rsid w:val="29C45684"/>
    <w:rsid w:val="29C83DAF"/>
    <w:rsid w:val="2A441A0F"/>
    <w:rsid w:val="2A622692"/>
    <w:rsid w:val="2A886EDA"/>
    <w:rsid w:val="2A9B0B57"/>
    <w:rsid w:val="2AD8125D"/>
    <w:rsid w:val="2ADF145D"/>
    <w:rsid w:val="2B136ED0"/>
    <w:rsid w:val="2B9E212F"/>
    <w:rsid w:val="2BB92942"/>
    <w:rsid w:val="2CA16C4B"/>
    <w:rsid w:val="2CDC6185"/>
    <w:rsid w:val="2CE24D5F"/>
    <w:rsid w:val="2CF80207"/>
    <w:rsid w:val="2D3378CB"/>
    <w:rsid w:val="2D394392"/>
    <w:rsid w:val="2D461413"/>
    <w:rsid w:val="2D560F07"/>
    <w:rsid w:val="2DF30196"/>
    <w:rsid w:val="2E2179EE"/>
    <w:rsid w:val="2E864AEE"/>
    <w:rsid w:val="2EB725DF"/>
    <w:rsid w:val="2EBD644A"/>
    <w:rsid w:val="2F062DFB"/>
    <w:rsid w:val="2F140E9F"/>
    <w:rsid w:val="2F345FC1"/>
    <w:rsid w:val="2F716331"/>
    <w:rsid w:val="30755460"/>
    <w:rsid w:val="30851F10"/>
    <w:rsid w:val="30927E18"/>
    <w:rsid w:val="30A54661"/>
    <w:rsid w:val="30CE6086"/>
    <w:rsid w:val="312B23D6"/>
    <w:rsid w:val="312D35DB"/>
    <w:rsid w:val="316F5151"/>
    <w:rsid w:val="31756045"/>
    <w:rsid w:val="31BB60DF"/>
    <w:rsid w:val="31E325FB"/>
    <w:rsid w:val="322C4CEE"/>
    <w:rsid w:val="328529C2"/>
    <w:rsid w:val="3303315A"/>
    <w:rsid w:val="332E135E"/>
    <w:rsid w:val="333865DD"/>
    <w:rsid w:val="33692051"/>
    <w:rsid w:val="34266C33"/>
    <w:rsid w:val="343D02E7"/>
    <w:rsid w:val="350403F3"/>
    <w:rsid w:val="352B3EDA"/>
    <w:rsid w:val="35586CB0"/>
    <w:rsid w:val="358275C9"/>
    <w:rsid w:val="3589386A"/>
    <w:rsid w:val="35952E37"/>
    <w:rsid w:val="35FE41B4"/>
    <w:rsid w:val="362D2520"/>
    <w:rsid w:val="364E7D80"/>
    <w:rsid w:val="36DA785B"/>
    <w:rsid w:val="36E8776A"/>
    <w:rsid w:val="37101DBA"/>
    <w:rsid w:val="375C796F"/>
    <w:rsid w:val="37605A52"/>
    <w:rsid w:val="37DB44AA"/>
    <w:rsid w:val="37EC060E"/>
    <w:rsid w:val="382D679F"/>
    <w:rsid w:val="38810A58"/>
    <w:rsid w:val="38D00DB6"/>
    <w:rsid w:val="38D21ABD"/>
    <w:rsid w:val="38D339E3"/>
    <w:rsid w:val="39063199"/>
    <w:rsid w:val="392218D8"/>
    <w:rsid w:val="39702CD8"/>
    <w:rsid w:val="39A916D3"/>
    <w:rsid w:val="3AD66C86"/>
    <w:rsid w:val="3B705BB9"/>
    <w:rsid w:val="3B924891"/>
    <w:rsid w:val="3BB77860"/>
    <w:rsid w:val="3BDC1383"/>
    <w:rsid w:val="3C03206E"/>
    <w:rsid w:val="3C6747D6"/>
    <w:rsid w:val="3C9041E1"/>
    <w:rsid w:val="3C9160E1"/>
    <w:rsid w:val="3CB27D84"/>
    <w:rsid w:val="3CD00A53"/>
    <w:rsid w:val="3CD36FE2"/>
    <w:rsid w:val="3CF77E0C"/>
    <w:rsid w:val="3D10211E"/>
    <w:rsid w:val="3D132E0A"/>
    <w:rsid w:val="3D656078"/>
    <w:rsid w:val="3E2947AB"/>
    <w:rsid w:val="3E333E8D"/>
    <w:rsid w:val="3E8A73F0"/>
    <w:rsid w:val="3EBC7911"/>
    <w:rsid w:val="3ECC62BD"/>
    <w:rsid w:val="3ED00060"/>
    <w:rsid w:val="3F1A0036"/>
    <w:rsid w:val="3F511FF4"/>
    <w:rsid w:val="3F61539D"/>
    <w:rsid w:val="3FF4179F"/>
    <w:rsid w:val="40107DB2"/>
    <w:rsid w:val="402461B5"/>
    <w:rsid w:val="40270221"/>
    <w:rsid w:val="40754B77"/>
    <w:rsid w:val="408F75B7"/>
    <w:rsid w:val="40C4353C"/>
    <w:rsid w:val="4135616C"/>
    <w:rsid w:val="418F0351"/>
    <w:rsid w:val="42293939"/>
    <w:rsid w:val="42A84AEC"/>
    <w:rsid w:val="42C13C90"/>
    <w:rsid w:val="4333372F"/>
    <w:rsid w:val="434F1BE2"/>
    <w:rsid w:val="43575E01"/>
    <w:rsid w:val="436F6E4F"/>
    <w:rsid w:val="43B75830"/>
    <w:rsid w:val="43F6237D"/>
    <w:rsid w:val="445D1C2C"/>
    <w:rsid w:val="452A1581"/>
    <w:rsid w:val="454A2458"/>
    <w:rsid w:val="459B0D0E"/>
    <w:rsid w:val="45C60DB7"/>
    <w:rsid w:val="46233C89"/>
    <w:rsid w:val="463C469F"/>
    <w:rsid w:val="466971A2"/>
    <w:rsid w:val="466E0902"/>
    <w:rsid w:val="46E92AB8"/>
    <w:rsid w:val="47730299"/>
    <w:rsid w:val="47AF3222"/>
    <w:rsid w:val="47D07F68"/>
    <w:rsid w:val="48093EFD"/>
    <w:rsid w:val="480A06A5"/>
    <w:rsid w:val="48520E05"/>
    <w:rsid w:val="488561F1"/>
    <w:rsid w:val="48D91850"/>
    <w:rsid w:val="48DE7962"/>
    <w:rsid w:val="48E6620E"/>
    <w:rsid w:val="49B66C73"/>
    <w:rsid w:val="49C17040"/>
    <w:rsid w:val="49ED0266"/>
    <w:rsid w:val="4A345BDB"/>
    <w:rsid w:val="4A3A40BE"/>
    <w:rsid w:val="4A51272C"/>
    <w:rsid w:val="4AC64E36"/>
    <w:rsid w:val="4B611C33"/>
    <w:rsid w:val="4B814D24"/>
    <w:rsid w:val="4B9326C3"/>
    <w:rsid w:val="4BB962E4"/>
    <w:rsid w:val="4BBD25FF"/>
    <w:rsid w:val="4BD54450"/>
    <w:rsid w:val="4C720F03"/>
    <w:rsid w:val="4C8E73C7"/>
    <w:rsid w:val="4D92791E"/>
    <w:rsid w:val="4DC215DB"/>
    <w:rsid w:val="4E953B25"/>
    <w:rsid w:val="4EDB0485"/>
    <w:rsid w:val="4F1B3509"/>
    <w:rsid w:val="4FA16C64"/>
    <w:rsid w:val="501C1046"/>
    <w:rsid w:val="50361573"/>
    <w:rsid w:val="50494F93"/>
    <w:rsid w:val="504D2CB6"/>
    <w:rsid w:val="50BF5245"/>
    <w:rsid w:val="50CD6290"/>
    <w:rsid w:val="50EA59C5"/>
    <w:rsid w:val="510F2ED2"/>
    <w:rsid w:val="512C0CB2"/>
    <w:rsid w:val="51E810B5"/>
    <w:rsid w:val="51EA1D68"/>
    <w:rsid w:val="51FE1BFA"/>
    <w:rsid w:val="521E02B9"/>
    <w:rsid w:val="525632C0"/>
    <w:rsid w:val="52642BE6"/>
    <w:rsid w:val="52AC3324"/>
    <w:rsid w:val="52C23A14"/>
    <w:rsid w:val="52CC47F8"/>
    <w:rsid w:val="52E96ADE"/>
    <w:rsid w:val="531A3407"/>
    <w:rsid w:val="535A640F"/>
    <w:rsid w:val="538B4476"/>
    <w:rsid w:val="53B157F7"/>
    <w:rsid w:val="53EE00A4"/>
    <w:rsid w:val="53F860B0"/>
    <w:rsid w:val="54387E3C"/>
    <w:rsid w:val="543A3989"/>
    <w:rsid w:val="54455C51"/>
    <w:rsid w:val="551D3539"/>
    <w:rsid w:val="551F715F"/>
    <w:rsid w:val="555B78FE"/>
    <w:rsid w:val="563F1DEA"/>
    <w:rsid w:val="56984C41"/>
    <w:rsid w:val="56A85AE2"/>
    <w:rsid w:val="56C56D29"/>
    <w:rsid w:val="572904E3"/>
    <w:rsid w:val="57671071"/>
    <w:rsid w:val="57692A88"/>
    <w:rsid w:val="578A0755"/>
    <w:rsid w:val="579D04B9"/>
    <w:rsid w:val="587C3C46"/>
    <w:rsid w:val="58C03DE7"/>
    <w:rsid w:val="58C06D5A"/>
    <w:rsid w:val="592B7639"/>
    <w:rsid w:val="594D7BBF"/>
    <w:rsid w:val="59596877"/>
    <w:rsid w:val="595C3E58"/>
    <w:rsid w:val="597B0B6D"/>
    <w:rsid w:val="5A0E52EE"/>
    <w:rsid w:val="5A3E148E"/>
    <w:rsid w:val="5A4A3D30"/>
    <w:rsid w:val="5A565C4C"/>
    <w:rsid w:val="5AAD5C22"/>
    <w:rsid w:val="5B27443C"/>
    <w:rsid w:val="5B895594"/>
    <w:rsid w:val="5BEF2091"/>
    <w:rsid w:val="5C06613C"/>
    <w:rsid w:val="5C085DCB"/>
    <w:rsid w:val="5C2B7746"/>
    <w:rsid w:val="5C5C3F72"/>
    <w:rsid w:val="5C7D4F13"/>
    <w:rsid w:val="5C804DE7"/>
    <w:rsid w:val="5CB13807"/>
    <w:rsid w:val="5CD45306"/>
    <w:rsid w:val="5CE04EAA"/>
    <w:rsid w:val="5DD916DF"/>
    <w:rsid w:val="5DE73439"/>
    <w:rsid w:val="5E255309"/>
    <w:rsid w:val="5E5A6394"/>
    <w:rsid w:val="5E5E545B"/>
    <w:rsid w:val="5E7D4C74"/>
    <w:rsid w:val="5E832395"/>
    <w:rsid w:val="5EC9677A"/>
    <w:rsid w:val="5F042755"/>
    <w:rsid w:val="5F1D43E3"/>
    <w:rsid w:val="606214C8"/>
    <w:rsid w:val="60907142"/>
    <w:rsid w:val="60A41E5E"/>
    <w:rsid w:val="60A55EC5"/>
    <w:rsid w:val="60D6025D"/>
    <w:rsid w:val="61186D3D"/>
    <w:rsid w:val="616F1153"/>
    <w:rsid w:val="61847401"/>
    <w:rsid w:val="61A5184C"/>
    <w:rsid w:val="61B50001"/>
    <w:rsid w:val="622836BB"/>
    <w:rsid w:val="623C735D"/>
    <w:rsid w:val="625A10CB"/>
    <w:rsid w:val="62880880"/>
    <w:rsid w:val="62992E84"/>
    <w:rsid w:val="631C2A5F"/>
    <w:rsid w:val="634F7A97"/>
    <w:rsid w:val="6401230C"/>
    <w:rsid w:val="64910098"/>
    <w:rsid w:val="64B60428"/>
    <w:rsid w:val="64F71093"/>
    <w:rsid w:val="652100BE"/>
    <w:rsid w:val="654D5067"/>
    <w:rsid w:val="65B965A4"/>
    <w:rsid w:val="66353D66"/>
    <w:rsid w:val="666463B7"/>
    <w:rsid w:val="668816C3"/>
    <w:rsid w:val="66982515"/>
    <w:rsid w:val="66BF7F35"/>
    <w:rsid w:val="67013C5D"/>
    <w:rsid w:val="674A000C"/>
    <w:rsid w:val="67686D0B"/>
    <w:rsid w:val="68123819"/>
    <w:rsid w:val="68150A60"/>
    <w:rsid w:val="68464C11"/>
    <w:rsid w:val="68692496"/>
    <w:rsid w:val="68CA4D75"/>
    <w:rsid w:val="69215BA8"/>
    <w:rsid w:val="69643F5B"/>
    <w:rsid w:val="699C2622"/>
    <w:rsid w:val="69AE228E"/>
    <w:rsid w:val="69B16693"/>
    <w:rsid w:val="69E30046"/>
    <w:rsid w:val="69EB5366"/>
    <w:rsid w:val="6A28090C"/>
    <w:rsid w:val="6A735CBD"/>
    <w:rsid w:val="6AEA7691"/>
    <w:rsid w:val="6B8129D0"/>
    <w:rsid w:val="6BCF428D"/>
    <w:rsid w:val="6BF50A1A"/>
    <w:rsid w:val="6C5A328E"/>
    <w:rsid w:val="6CA668F1"/>
    <w:rsid w:val="6CAD79EE"/>
    <w:rsid w:val="6CC524FF"/>
    <w:rsid w:val="6D072F44"/>
    <w:rsid w:val="6D5F2B5B"/>
    <w:rsid w:val="6D72248E"/>
    <w:rsid w:val="6DDA1B5A"/>
    <w:rsid w:val="6DF85B1F"/>
    <w:rsid w:val="6DFA7181"/>
    <w:rsid w:val="6E3E11A2"/>
    <w:rsid w:val="6E4D1E59"/>
    <w:rsid w:val="6E6737A2"/>
    <w:rsid w:val="6EBC6884"/>
    <w:rsid w:val="6ECB6435"/>
    <w:rsid w:val="6F1B71F6"/>
    <w:rsid w:val="6F236E20"/>
    <w:rsid w:val="6F9A1AEA"/>
    <w:rsid w:val="7046560D"/>
    <w:rsid w:val="70CC4160"/>
    <w:rsid w:val="70D00087"/>
    <w:rsid w:val="70DF77FD"/>
    <w:rsid w:val="712D21AC"/>
    <w:rsid w:val="7170272F"/>
    <w:rsid w:val="7178452C"/>
    <w:rsid w:val="71976159"/>
    <w:rsid w:val="71AF457F"/>
    <w:rsid w:val="71D836B0"/>
    <w:rsid w:val="71EA0D37"/>
    <w:rsid w:val="72430F46"/>
    <w:rsid w:val="72BA478C"/>
    <w:rsid w:val="72C27623"/>
    <w:rsid w:val="72D12B57"/>
    <w:rsid w:val="7306335F"/>
    <w:rsid w:val="73400E1B"/>
    <w:rsid w:val="73700D40"/>
    <w:rsid w:val="737352B6"/>
    <w:rsid w:val="73897C67"/>
    <w:rsid w:val="738D6BA9"/>
    <w:rsid w:val="73CD7E1B"/>
    <w:rsid w:val="73F93AF2"/>
    <w:rsid w:val="740873D3"/>
    <w:rsid w:val="7421538B"/>
    <w:rsid w:val="74482234"/>
    <w:rsid w:val="744A2EF6"/>
    <w:rsid w:val="74D335DE"/>
    <w:rsid w:val="7525370B"/>
    <w:rsid w:val="753E1CBB"/>
    <w:rsid w:val="755060CA"/>
    <w:rsid w:val="756F577C"/>
    <w:rsid w:val="75AD3D8E"/>
    <w:rsid w:val="75C46A7D"/>
    <w:rsid w:val="76361597"/>
    <w:rsid w:val="76713075"/>
    <w:rsid w:val="7690152A"/>
    <w:rsid w:val="76B06200"/>
    <w:rsid w:val="76B80A21"/>
    <w:rsid w:val="76CD1ADF"/>
    <w:rsid w:val="76F7183C"/>
    <w:rsid w:val="76F84140"/>
    <w:rsid w:val="77014152"/>
    <w:rsid w:val="7705779A"/>
    <w:rsid w:val="774130C8"/>
    <w:rsid w:val="77573E4B"/>
    <w:rsid w:val="778B6E8F"/>
    <w:rsid w:val="77AA0E8B"/>
    <w:rsid w:val="77F13CD9"/>
    <w:rsid w:val="783F16F2"/>
    <w:rsid w:val="787A4EEE"/>
    <w:rsid w:val="78AD6F7E"/>
    <w:rsid w:val="78B70E56"/>
    <w:rsid w:val="78E4411B"/>
    <w:rsid w:val="78FC12C0"/>
    <w:rsid w:val="799E462F"/>
    <w:rsid w:val="79A060B3"/>
    <w:rsid w:val="7A053780"/>
    <w:rsid w:val="7A117CA6"/>
    <w:rsid w:val="7B0633EF"/>
    <w:rsid w:val="7B8F4EC4"/>
    <w:rsid w:val="7B971F68"/>
    <w:rsid w:val="7BBB4D36"/>
    <w:rsid w:val="7BC46D3A"/>
    <w:rsid w:val="7BED2E52"/>
    <w:rsid w:val="7CA776D7"/>
    <w:rsid w:val="7D3A4362"/>
    <w:rsid w:val="7D3C341E"/>
    <w:rsid w:val="7D92283C"/>
    <w:rsid w:val="7D9D4F77"/>
    <w:rsid w:val="7DEF68A6"/>
    <w:rsid w:val="7DFC5D73"/>
    <w:rsid w:val="7E201DE2"/>
    <w:rsid w:val="7EBA70AE"/>
    <w:rsid w:val="7EE31211"/>
    <w:rsid w:val="7F225D09"/>
    <w:rsid w:val="7F526CB3"/>
    <w:rsid w:val="7F620570"/>
    <w:rsid w:val="7FDE51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0"/>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2"/>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numPr>
        <w:ilvl w:val="2"/>
        <w:numId w:val="1"/>
      </w:numPr>
      <w:spacing w:before="260" w:after="260" w:line="416" w:lineRule="auto"/>
      <w:ind w:left="3272"/>
      <w:outlineLvl w:val="2"/>
    </w:pPr>
    <w:rPr>
      <w:b/>
      <w:bCs/>
      <w:sz w:val="32"/>
      <w:szCs w:val="32"/>
    </w:rPr>
  </w:style>
  <w:style w:type="paragraph" w:styleId="6">
    <w:name w:val="heading 4"/>
    <w:basedOn w:val="1"/>
    <w:next w:val="1"/>
    <w:link w:val="34"/>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5"/>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6"/>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7"/>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38"/>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39"/>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1"/>
    <w:semiHidden/>
    <w:unhideWhenUsed/>
    <w:qFormat/>
    <w:uiPriority w:val="99"/>
    <w:rPr>
      <w:rFonts w:ascii="宋体" w:eastAsia="宋体"/>
      <w:sz w:val="18"/>
      <w:szCs w:val="18"/>
    </w:rPr>
  </w:style>
  <w:style w:type="paragraph" w:styleId="13">
    <w:name w:val="annotation text"/>
    <w:basedOn w:val="1"/>
    <w:link w:val="42"/>
    <w:semiHidden/>
    <w:unhideWhenUsed/>
    <w:qFormat/>
    <w:uiPriority w:val="99"/>
    <w:pPr>
      <w:jc w:val="left"/>
    </w:pPr>
  </w:style>
  <w:style w:type="paragraph" w:styleId="14">
    <w:name w:val="toc 3"/>
    <w:basedOn w:val="1"/>
    <w:next w:val="1"/>
    <w:unhideWhenUsed/>
    <w:qFormat/>
    <w:uiPriority w:val="39"/>
    <w:pPr>
      <w:ind w:left="840" w:leftChars="400"/>
    </w:pPr>
  </w:style>
  <w:style w:type="paragraph" w:styleId="15">
    <w:name w:val="Balloon Text"/>
    <w:basedOn w:val="1"/>
    <w:link w:val="44"/>
    <w:semiHidden/>
    <w:unhideWhenUsed/>
    <w:qFormat/>
    <w:uiPriority w:val="99"/>
    <w:rPr>
      <w:sz w:val="18"/>
      <w:szCs w:val="18"/>
    </w:rPr>
  </w:style>
  <w:style w:type="paragraph" w:styleId="16">
    <w:name w:val="footer"/>
    <w:basedOn w:val="1"/>
    <w:link w:val="29"/>
    <w:unhideWhenUsed/>
    <w:qFormat/>
    <w:uiPriority w:val="99"/>
    <w:pPr>
      <w:tabs>
        <w:tab w:val="center" w:pos="4153"/>
        <w:tab w:val="right" w:pos="8306"/>
      </w:tabs>
      <w:snapToGrid w:val="0"/>
      <w:jc w:val="left"/>
    </w:pPr>
    <w:rPr>
      <w:sz w:val="18"/>
      <w:szCs w:val="18"/>
    </w:rPr>
  </w:style>
  <w:style w:type="paragraph" w:styleId="17">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2"/>
    <w:basedOn w:val="1"/>
    <w:next w:val="1"/>
    <w:unhideWhenUsed/>
    <w:qFormat/>
    <w:uiPriority w:val="39"/>
    <w:pPr>
      <w:ind w:left="420" w:leftChars="200"/>
    </w:pPr>
  </w:style>
  <w:style w:type="paragraph" w:styleId="20">
    <w:name w:val="Title"/>
    <w:basedOn w:val="1"/>
    <w:next w:val="1"/>
    <w:link w:val="40"/>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13"/>
    <w:next w:val="13"/>
    <w:link w:val="43"/>
    <w:semiHidden/>
    <w:unhideWhenUsed/>
    <w:qFormat/>
    <w:uiPriority w:val="99"/>
    <w:rPr>
      <w:b/>
      <w:bCs/>
    </w:rPr>
  </w:style>
  <w:style w:type="table" w:styleId="23">
    <w:name w:val="Table Grid"/>
    <w:basedOn w:val="2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FollowedHyperlink"/>
    <w:basedOn w:val="24"/>
    <w:semiHidden/>
    <w:unhideWhenUsed/>
    <w:qFormat/>
    <w:uiPriority w:val="99"/>
    <w:rPr>
      <w:color w:val="800080"/>
      <w:u w:val="single"/>
    </w:rPr>
  </w:style>
  <w:style w:type="character" w:styleId="26">
    <w:name w:val="Hyperlink"/>
    <w:basedOn w:val="24"/>
    <w:unhideWhenUsed/>
    <w:qFormat/>
    <w:uiPriority w:val="99"/>
    <w:rPr>
      <w:color w:val="0000FF"/>
      <w:u w:val="single"/>
    </w:rPr>
  </w:style>
  <w:style w:type="character" w:styleId="27">
    <w:name w:val="annotation reference"/>
    <w:basedOn w:val="24"/>
    <w:semiHidden/>
    <w:unhideWhenUsed/>
    <w:qFormat/>
    <w:uiPriority w:val="99"/>
    <w:rPr>
      <w:sz w:val="21"/>
      <w:szCs w:val="21"/>
    </w:rPr>
  </w:style>
  <w:style w:type="character" w:customStyle="1" w:styleId="28">
    <w:name w:val="页眉 Char"/>
    <w:basedOn w:val="24"/>
    <w:link w:val="17"/>
    <w:qFormat/>
    <w:uiPriority w:val="99"/>
    <w:rPr>
      <w:sz w:val="18"/>
      <w:szCs w:val="18"/>
    </w:rPr>
  </w:style>
  <w:style w:type="character" w:customStyle="1" w:styleId="29">
    <w:name w:val="页脚 Char"/>
    <w:basedOn w:val="24"/>
    <w:link w:val="16"/>
    <w:qFormat/>
    <w:uiPriority w:val="99"/>
    <w:rPr>
      <w:sz w:val="18"/>
      <w:szCs w:val="18"/>
    </w:rPr>
  </w:style>
  <w:style w:type="character" w:customStyle="1" w:styleId="30">
    <w:name w:val="标题 1 Char"/>
    <w:basedOn w:val="24"/>
    <w:link w:val="3"/>
    <w:qFormat/>
    <w:uiPriority w:val="9"/>
    <w:rPr>
      <w:b/>
      <w:bCs/>
      <w:kern w:val="44"/>
      <w:sz w:val="32"/>
      <w:szCs w:val="44"/>
    </w:rPr>
  </w:style>
  <w:style w:type="character" w:customStyle="1" w:styleId="31">
    <w:name w:val="文档结构图 Char"/>
    <w:basedOn w:val="24"/>
    <w:link w:val="12"/>
    <w:semiHidden/>
    <w:qFormat/>
    <w:uiPriority w:val="99"/>
    <w:rPr>
      <w:rFonts w:ascii="宋体" w:eastAsia="宋体"/>
      <w:sz w:val="18"/>
      <w:szCs w:val="18"/>
    </w:rPr>
  </w:style>
  <w:style w:type="character" w:customStyle="1" w:styleId="32">
    <w:name w:val="标题 2 Char"/>
    <w:basedOn w:val="24"/>
    <w:link w:val="4"/>
    <w:qFormat/>
    <w:uiPriority w:val="9"/>
    <w:rPr>
      <w:rFonts w:asciiTheme="majorHAnsi" w:hAnsiTheme="majorHAnsi" w:eastAsiaTheme="majorEastAsia" w:cstheme="majorBidi"/>
      <w:b/>
      <w:bCs/>
      <w:kern w:val="2"/>
      <w:sz w:val="32"/>
      <w:szCs w:val="32"/>
    </w:rPr>
  </w:style>
  <w:style w:type="character" w:customStyle="1" w:styleId="33">
    <w:name w:val="标题 3 Char"/>
    <w:basedOn w:val="24"/>
    <w:link w:val="5"/>
    <w:qFormat/>
    <w:uiPriority w:val="0"/>
    <w:rPr>
      <w:b/>
      <w:bCs/>
      <w:sz w:val="32"/>
      <w:szCs w:val="32"/>
    </w:rPr>
  </w:style>
  <w:style w:type="character" w:customStyle="1" w:styleId="34">
    <w:name w:val="标题 4 Char"/>
    <w:basedOn w:val="24"/>
    <w:link w:val="6"/>
    <w:qFormat/>
    <w:uiPriority w:val="9"/>
    <w:rPr>
      <w:rFonts w:asciiTheme="majorHAnsi" w:hAnsiTheme="majorHAnsi" w:eastAsiaTheme="majorEastAsia" w:cstheme="majorBidi"/>
      <w:b/>
      <w:bCs/>
      <w:sz w:val="28"/>
      <w:szCs w:val="28"/>
    </w:rPr>
  </w:style>
  <w:style w:type="character" w:customStyle="1" w:styleId="35">
    <w:name w:val="标题 5 Char"/>
    <w:basedOn w:val="24"/>
    <w:link w:val="7"/>
    <w:qFormat/>
    <w:uiPriority w:val="9"/>
    <w:rPr>
      <w:b/>
      <w:bCs/>
      <w:sz w:val="28"/>
      <w:szCs w:val="28"/>
    </w:rPr>
  </w:style>
  <w:style w:type="character" w:customStyle="1" w:styleId="36">
    <w:name w:val="标题 6 Char"/>
    <w:basedOn w:val="24"/>
    <w:link w:val="8"/>
    <w:semiHidden/>
    <w:qFormat/>
    <w:uiPriority w:val="9"/>
    <w:rPr>
      <w:rFonts w:asciiTheme="majorHAnsi" w:hAnsiTheme="majorHAnsi" w:eastAsiaTheme="majorEastAsia" w:cstheme="majorBidi"/>
      <w:b/>
      <w:bCs/>
      <w:sz w:val="24"/>
      <w:szCs w:val="24"/>
    </w:rPr>
  </w:style>
  <w:style w:type="character" w:customStyle="1" w:styleId="37">
    <w:name w:val="标题 7 Char"/>
    <w:basedOn w:val="24"/>
    <w:link w:val="9"/>
    <w:semiHidden/>
    <w:qFormat/>
    <w:uiPriority w:val="9"/>
    <w:rPr>
      <w:b/>
      <w:bCs/>
      <w:sz w:val="24"/>
      <w:szCs w:val="24"/>
    </w:rPr>
  </w:style>
  <w:style w:type="character" w:customStyle="1" w:styleId="38">
    <w:name w:val="标题 8 Char"/>
    <w:basedOn w:val="24"/>
    <w:link w:val="10"/>
    <w:semiHidden/>
    <w:qFormat/>
    <w:uiPriority w:val="9"/>
    <w:rPr>
      <w:rFonts w:asciiTheme="majorHAnsi" w:hAnsiTheme="majorHAnsi" w:eastAsiaTheme="majorEastAsia" w:cstheme="majorBidi"/>
      <w:sz w:val="24"/>
      <w:szCs w:val="24"/>
    </w:rPr>
  </w:style>
  <w:style w:type="character" w:customStyle="1" w:styleId="39">
    <w:name w:val="标题 9 Char"/>
    <w:basedOn w:val="24"/>
    <w:link w:val="11"/>
    <w:semiHidden/>
    <w:qFormat/>
    <w:uiPriority w:val="9"/>
    <w:rPr>
      <w:rFonts w:asciiTheme="majorHAnsi" w:hAnsiTheme="majorHAnsi" w:eastAsiaTheme="majorEastAsia" w:cstheme="majorBidi"/>
      <w:szCs w:val="21"/>
    </w:rPr>
  </w:style>
  <w:style w:type="character" w:customStyle="1" w:styleId="40">
    <w:name w:val="标题 Char"/>
    <w:basedOn w:val="24"/>
    <w:link w:val="20"/>
    <w:qFormat/>
    <w:uiPriority w:val="10"/>
    <w:rPr>
      <w:rFonts w:eastAsia="宋体" w:asciiTheme="majorHAnsi" w:hAnsiTheme="majorHAnsi" w:cstheme="majorBidi"/>
      <w:b/>
      <w:bCs/>
      <w:sz w:val="32"/>
      <w:szCs w:val="32"/>
    </w:rPr>
  </w:style>
  <w:style w:type="paragraph" w:customStyle="1" w:styleId="41">
    <w:name w:val="报告正文"/>
    <w:basedOn w:val="1"/>
    <w:qFormat/>
    <w:uiPriority w:val="0"/>
    <w:pPr>
      <w:ind w:firstLine="200" w:firstLineChars="200"/>
    </w:pPr>
    <w:rPr>
      <w:sz w:val="28"/>
    </w:rPr>
  </w:style>
  <w:style w:type="character" w:customStyle="1" w:styleId="42">
    <w:name w:val="批注文字 Char"/>
    <w:basedOn w:val="24"/>
    <w:link w:val="13"/>
    <w:semiHidden/>
    <w:qFormat/>
    <w:uiPriority w:val="99"/>
  </w:style>
  <w:style w:type="character" w:customStyle="1" w:styleId="43">
    <w:name w:val="批注主题 Char"/>
    <w:basedOn w:val="42"/>
    <w:link w:val="21"/>
    <w:semiHidden/>
    <w:qFormat/>
    <w:uiPriority w:val="99"/>
    <w:rPr>
      <w:b/>
      <w:bCs/>
    </w:rPr>
  </w:style>
  <w:style w:type="character" w:customStyle="1" w:styleId="44">
    <w:name w:val="批注框文本 Char"/>
    <w:basedOn w:val="24"/>
    <w:link w:val="15"/>
    <w:semiHidden/>
    <w:qFormat/>
    <w:uiPriority w:val="99"/>
    <w:rPr>
      <w:sz w:val="18"/>
      <w:szCs w:val="18"/>
    </w:rPr>
  </w:style>
  <w:style w:type="paragraph" w:customStyle="1" w:styleId="45">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6">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7">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8">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49">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0">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3">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7">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9">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0">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1">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4">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5">
    <w:name w:val="TOC 标题2"/>
    <w:basedOn w:val="3"/>
    <w:next w:val="1"/>
    <w:semiHidden/>
    <w:unhideWhenUsed/>
    <w:qFormat/>
    <w:uiPriority w:val="39"/>
    <w:pPr>
      <w:numPr>
        <w:numId w:val="0"/>
      </w:numPr>
      <w:outlineLvl w:val="9"/>
    </w:pPr>
    <w:rPr>
      <w:sz w:val="44"/>
    </w:rPr>
  </w:style>
  <w:style w:type="paragraph" w:customStyle="1" w:styleId="66">
    <w:name w:val="TOC 标题3"/>
    <w:basedOn w:val="3"/>
    <w:next w:val="1"/>
    <w:semiHidden/>
    <w:unhideWhenUsed/>
    <w:qFormat/>
    <w:uiPriority w:val="39"/>
    <w:pPr>
      <w:numPr>
        <w:numId w:val="0"/>
      </w:numPr>
      <w:outlineLvl w:val="9"/>
    </w:pPr>
    <w:rPr>
      <w:sz w:val="44"/>
    </w:rPr>
  </w:style>
  <w:style w:type="character" w:customStyle="1" w:styleId="67">
    <w:name w:val="font31"/>
    <w:basedOn w:val="24"/>
    <w:qFormat/>
    <w:uiPriority w:val="0"/>
    <w:rPr>
      <w:rFonts w:hint="eastAsia" w:ascii="宋体" w:hAnsi="宋体" w:eastAsia="宋体" w:cs="宋体"/>
      <w:i/>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numbering" Target="numbering.xml"/><Relationship Id="rId34" Type="http://schemas.openxmlformats.org/officeDocument/2006/relationships/image" Target="media/image14.png"/><Relationship Id="rId33" Type="http://schemas.openxmlformats.org/officeDocument/2006/relationships/oleObject" Target="embeddings/oleObject15.bin"/><Relationship Id="rId32" Type="http://schemas.openxmlformats.org/officeDocument/2006/relationships/oleObject" Target="embeddings/oleObject14.bin"/><Relationship Id="rId31" Type="http://schemas.openxmlformats.org/officeDocument/2006/relationships/oleObject" Target="embeddings/oleObject13.bin"/><Relationship Id="rId30" Type="http://schemas.openxmlformats.org/officeDocument/2006/relationships/oleObject" Target="embeddings/oleObject12.bin"/><Relationship Id="rId3" Type="http://schemas.openxmlformats.org/officeDocument/2006/relationships/footer" Target="footer1.xml"/><Relationship Id="rId29" Type="http://schemas.openxmlformats.org/officeDocument/2006/relationships/oleObject" Target="embeddings/oleObject11.bin"/><Relationship Id="rId28" Type="http://schemas.openxmlformats.org/officeDocument/2006/relationships/oleObject" Target="embeddings/oleObject10.bin"/><Relationship Id="rId27" Type="http://schemas.openxmlformats.org/officeDocument/2006/relationships/oleObject" Target="embeddings/oleObject9.bin"/><Relationship Id="rId26" Type="http://schemas.openxmlformats.org/officeDocument/2006/relationships/image" Target="media/image13.wmf"/><Relationship Id="rId25" Type="http://schemas.openxmlformats.org/officeDocument/2006/relationships/oleObject" Target="embeddings/oleObject8.bin"/><Relationship Id="rId24" Type="http://schemas.openxmlformats.org/officeDocument/2006/relationships/image" Target="media/image12.wmf"/><Relationship Id="rId23" Type="http://schemas.openxmlformats.org/officeDocument/2006/relationships/oleObject" Target="embeddings/oleObject7.bin"/><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0.wmf"/><Relationship Id="rId17" Type="http://schemas.openxmlformats.org/officeDocument/2006/relationships/oleObject" Target="embeddings/oleObject3.bin"/><Relationship Id="rId16" Type="http://schemas.openxmlformats.org/officeDocument/2006/relationships/image" Target="media/image9.wmf"/><Relationship Id="rId15" Type="http://schemas.openxmlformats.org/officeDocument/2006/relationships/oleObject" Target="embeddings/oleObject2.bin"/><Relationship Id="rId14" Type="http://schemas.openxmlformats.org/officeDocument/2006/relationships/image" Target="media/image8.wmf"/><Relationship Id="rId13" Type="http://schemas.openxmlformats.org/officeDocument/2006/relationships/oleObject" Target="embeddings/oleObject1.bin"/><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DD8FC-DD7C-4629-8C16-2AD48701BD8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39</Pages>
  <Words>13143</Words>
  <Characters>16567</Characters>
  <Lines>142</Lines>
  <Paragraphs>40</Paragraphs>
  <TotalTime>0</TotalTime>
  <ScaleCrop>false</ScaleCrop>
  <LinksUpToDate>false</LinksUpToDate>
  <CharactersWithSpaces>16961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2019-08-09T08:51:00Z</dcterms:created>
  <dc:creator>Administrator</dc:creator>
  <cp:lastModifiedBy>Administrator</cp:lastModifiedBy>
  <cp:lastPrinted>2022-01-24T06:17:00Z</cp:lastPrinted>
  <dcterms:modified xsi:type="dcterms:W3CDTF">2022-07-04T05:27:37Z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KSORubyTemplateID" linkTarget="0">
    <vt:lpwstr>6</vt:lpwstr>
  </property>
  <property fmtid="{D5CDD505-2E9C-101B-9397-08002B2CF9AE}" pid="4" name="ICV">
    <vt:lpwstr>3A6034B15B7C48FBBA45F23168D5E509</vt:lpwstr>
  </property>
</Properties>
</file>